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725F3" w14:textId="77777777" w:rsidR="00E45CA3" w:rsidRPr="00DF1BC7" w:rsidRDefault="00892C5C" w:rsidP="00892C5C">
      <w:pPr>
        <w:pStyle w:val="CoverTechNoteTitle"/>
      </w:pPr>
      <w:r w:rsidRPr="00DF1BC7">
        <w:t>Technical Note</w:t>
      </w:r>
    </w:p>
    <w:sdt>
      <w:sdtPr>
        <w:alias w:val="Report Title"/>
        <w:tag w:val="Report Title"/>
        <w:id w:val="515972845"/>
        <w:placeholder>
          <w:docPart w:val="FD161604752C4C6ABC39915E9CF3D500"/>
        </w:placeholder>
        <w:dataBinding w:prefixMappings="xmlns:ns0='http://purl.org/dc/elements/1.1/' xmlns:ns1='http://schemas.openxmlformats.org/package/2006/metadata/core-properties' " w:xpath="/ns1:coreProperties[1]/ns0:title[1]" w:storeItemID="{6C3C8BC8-F283-45AE-878A-BAB7291924A1}"/>
        <w:text/>
      </w:sdtPr>
      <w:sdtEndPr/>
      <w:sdtContent>
        <w:p w14:paraId="55D792A6" w14:textId="0A541B79" w:rsidR="00FC0B77" w:rsidRPr="00DF1BC7" w:rsidRDefault="00C94EB1" w:rsidP="00DF1BC7">
          <w:pPr>
            <w:pStyle w:val="CoverReportTitle"/>
          </w:pPr>
          <w:r>
            <w:t>Response to Inspector’s Initial Findings for the Tunbridge Wells Borough Local Plan</w:t>
          </w:r>
        </w:p>
      </w:sdtContent>
    </w:sdt>
    <w:sdt>
      <w:sdtPr>
        <w:alias w:val="Project Title"/>
        <w:tag w:val="Project Title"/>
        <w:id w:val="-1514452137"/>
        <w:placeholder>
          <w:docPart w:val="FC00738C6BCF45D0AA8E34B5B80B16C2"/>
        </w:placeholder>
        <w:dataBinding w:prefixMappings="xmlns:ns0='http://purl.org/dc/elements/1.1/' xmlns:ns1='http://schemas.openxmlformats.org/package/2006/metadata/core-properties' " w:xpath="/ns1:coreProperties[1]/ns0:subject[1]" w:storeItemID="{6C3C8BC8-F283-45AE-878A-BAB7291924A1}"/>
        <w:text/>
      </w:sdtPr>
      <w:sdtEndPr/>
      <w:sdtContent>
        <w:p w14:paraId="4A21CD0F" w14:textId="01D76095" w:rsidR="00FC0B77" w:rsidRPr="00DF1BC7" w:rsidRDefault="00F45879" w:rsidP="00FC0B77">
          <w:pPr>
            <w:pStyle w:val="CoverProjectTitle"/>
          </w:pPr>
          <w:r>
            <w:t>Tudeley Garden Village</w:t>
          </w:r>
        </w:p>
      </w:sdtContent>
    </w:sdt>
    <w:p w14:paraId="0DC4A1BA" w14:textId="77777777" w:rsidR="00B3287A" w:rsidRDefault="00B3287A" w:rsidP="00B3287A"/>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43"/>
        <w:gridCol w:w="7211"/>
      </w:tblGrid>
      <w:tr w:rsidR="00B3287A" w14:paraId="5FB470D0" w14:textId="77777777" w:rsidTr="00AB64B0">
        <w:tc>
          <w:tcPr>
            <w:tcW w:w="1843" w:type="dxa"/>
          </w:tcPr>
          <w:p w14:paraId="4B7D17EA" w14:textId="77777777" w:rsidR="00B3287A" w:rsidRDefault="00B3287A" w:rsidP="00892C5C">
            <w:r>
              <w:t>Project Number:</w:t>
            </w:r>
          </w:p>
        </w:tc>
        <w:sdt>
          <w:sdtPr>
            <w:alias w:val="Project Number"/>
            <w:tag w:val="Project Number"/>
            <w:id w:val="-710721922"/>
            <w:placeholder>
              <w:docPart w:val="69005A6B8DDD42CDB946A3F434E38D9D"/>
            </w:placeholder>
          </w:sdtPr>
          <w:sdtEndPr/>
          <w:sdtContent>
            <w:tc>
              <w:tcPr>
                <w:tcW w:w="7211" w:type="dxa"/>
              </w:tcPr>
              <w:p w14:paraId="190B4074" w14:textId="50F43B53" w:rsidR="00B3287A" w:rsidRDefault="00C94EB1" w:rsidP="007F56C7">
                <w:pPr>
                  <w:pStyle w:val="MKProjectNum"/>
                </w:pPr>
                <w:r>
                  <w:t>22316</w:t>
                </w:r>
              </w:p>
            </w:tc>
          </w:sdtContent>
        </w:sdt>
      </w:tr>
      <w:tr w:rsidR="00B3287A" w14:paraId="3E06114A" w14:textId="77777777" w:rsidTr="00AB64B0">
        <w:tc>
          <w:tcPr>
            <w:tcW w:w="1843" w:type="dxa"/>
          </w:tcPr>
          <w:p w14:paraId="2858D120" w14:textId="77777777" w:rsidR="00B3287A" w:rsidRDefault="00B3287A" w:rsidP="00B3287A">
            <w:r>
              <w:t>Doc Number:</w:t>
            </w:r>
          </w:p>
        </w:tc>
        <w:sdt>
          <w:sdtPr>
            <w:alias w:val="Document Number"/>
            <w:tag w:val="Document Number"/>
            <w:id w:val="557211795"/>
            <w:placeholder>
              <w:docPart w:val="3FC2075F41DA4BD6B0C450A340B6C5BF"/>
            </w:placeholder>
          </w:sdtPr>
          <w:sdtEndPr/>
          <w:sdtContent>
            <w:tc>
              <w:tcPr>
                <w:tcW w:w="7211" w:type="dxa"/>
              </w:tcPr>
              <w:p w14:paraId="725B923D" w14:textId="3153FE17" w:rsidR="00B3287A" w:rsidRDefault="00C94EB1" w:rsidP="00F612BB">
                <w:pPr>
                  <w:pStyle w:val="MKDocNum"/>
                </w:pPr>
                <w:r>
                  <w:t>TN01</w:t>
                </w:r>
              </w:p>
            </w:tc>
          </w:sdtContent>
        </w:sdt>
      </w:tr>
      <w:tr w:rsidR="00892C5C" w14:paraId="61C8A6A2" w14:textId="77777777" w:rsidTr="00AB64B0">
        <w:tc>
          <w:tcPr>
            <w:tcW w:w="1843" w:type="dxa"/>
          </w:tcPr>
          <w:p w14:paraId="09D229B7" w14:textId="77777777" w:rsidR="00892C5C" w:rsidRPr="00892C5C" w:rsidRDefault="00892C5C" w:rsidP="00B3287A">
            <w:r w:rsidRPr="00892C5C">
              <w:t>Prepared for:</w:t>
            </w:r>
          </w:p>
        </w:tc>
        <w:tc>
          <w:tcPr>
            <w:tcW w:w="7211" w:type="dxa"/>
          </w:tcPr>
          <w:p w14:paraId="5E96FF2F" w14:textId="56E91657" w:rsidR="00892C5C" w:rsidRDefault="008A4677" w:rsidP="00F612BB">
            <w:pPr>
              <w:pStyle w:val="MKDocNum"/>
            </w:pPr>
            <w:sdt>
              <w:sdtPr>
                <w:alias w:val="Client Name"/>
                <w:tag w:val="Client Name"/>
                <w:id w:val="842753031"/>
                <w:placeholder>
                  <w:docPart w:val="2C11EC0719CA41BA9786C7541BD793EC"/>
                </w:placeholder>
                <w:dataBinding w:prefixMappings="xmlns:ns0='http://schemas.microsoft.com/office/2006/coverPageProps' " w:xpath="/ns0:CoverPageProperties[1]/ns0:Abstract[1]" w:storeItemID="{55AF091B-3C7A-41E3-B477-F2FDAA23CFDA}"/>
                <w:text/>
              </w:sdtPr>
              <w:sdtEndPr/>
              <w:sdtContent>
                <w:r w:rsidR="00C94EB1">
                  <w:t>The Hadlow Estate</w:t>
                </w:r>
              </w:sdtContent>
            </w:sdt>
          </w:p>
        </w:tc>
      </w:tr>
      <w:tr w:rsidR="00892C5C" w14:paraId="2F5D264E" w14:textId="77777777" w:rsidTr="00953640">
        <w:trPr>
          <w:trHeight w:val="567"/>
        </w:trPr>
        <w:tc>
          <w:tcPr>
            <w:tcW w:w="1843" w:type="dxa"/>
          </w:tcPr>
          <w:p w14:paraId="69AD78A7" w14:textId="77777777" w:rsidR="00892C5C" w:rsidRPr="00892C5C" w:rsidRDefault="00892C5C" w:rsidP="00B3287A"/>
        </w:tc>
        <w:tc>
          <w:tcPr>
            <w:tcW w:w="7211" w:type="dxa"/>
            <w:vAlign w:val="bottom"/>
          </w:tcPr>
          <w:sdt>
            <w:sdtPr>
              <w:alias w:val="Report Date"/>
              <w:tag w:val="Report Date"/>
              <w:id w:val="2072687519"/>
              <w:placeholder>
                <w:docPart w:val="06FE4CF82CEE4D36B1ABBBB7EA15EC25"/>
              </w:placeholder>
              <w:dataBinding w:prefixMappings="xmlns:ns0='http://schemas.microsoft.com/office/2006/coverPageProps' " w:xpath="/ns0:CoverPageProperties[1]/ns0:PublishDate[1]" w:storeItemID="{55AF091B-3C7A-41E3-B477-F2FDAA23CFDA}"/>
              <w:date w:fullDate="2023-04-25T00:00:00Z">
                <w:dateFormat w:val="d MMMM yyyy"/>
                <w:lid w:val="en-GB"/>
                <w:storeMappedDataAs w:val="dateTime"/>
                <w:calendar w:val="gregorian"/>
              </w:date>
            </w:sdtPr>
            <w:sdtEndPr/>
            <w:sdtContent>
              <w:p w14:paraId="3EFA9CC6" w14:textId="7E12258B" w:rsidR="00892C5C" w:rsidRPr="007E02FB" w:rsidRDefault="00C94EB1" w:rsidP="00953640">
                <w:pPr>
                  <w:jc w:val="right"/>
                </w:pPr>
                <w:r>
                  <w:t>2</w:t>
                </w:r>
                <w:r w:rsidR="0099381E">
                  <w:t>5</w:t>
                </w:r>
                <w:r>
                  <w:t xml:space="preserve"> April 2023</w:t>
                </w:r>
              </w:p>
            </w:sdtContent>
          </w:sdt>
        </w:tc>
      </w:tr>
    </w:tbl>
    <w:p w14:paraId="23935807" w14:textId="77777777" w:rsidR="00B3287A" w:rsidRDefault="00B3287A" w:rsidP="00B3287A"/>
    <w:tbl>
      <w:tblPr>
        <w:tblStyle w:val="MKTable1"/>
        <w:tblW w:w="0" w:type="auto"/>
        <w:tblInd w:w="0" w:type="dxa"/>
        <w:tblLook w:val="04A0" w:firstRow="1" w:lastRow="0" w:firstColumn="1" w:lastColumn="0" w:noHBand="0" w:noVBand="1"/>
      </w:tblPr>
      <w:tblGrid>
        <w:gridCol w:w="702"/>
        <w:gridCol w:w="2108"/>
        <w:gridCol w:w="1239"/>
        <w:gridCol w:w="1241"/>
        <w:gridCol w:w="1243"/>
        <w:gridCol w:w="1243"/>
        <w:gridCol w:w="1278"/>
      </w:tblGrid>
      <w:tr w:rsidR="00B352DB" w14:paraId="0A066522" w14:textId="77777777" w:rsidTr="00747A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dxa"/>
          </w:tcPr>
          <w:p w14:paraId="66A4C847" w14:textId="77777777" w:rsidR="00B352DB" w:rsidRDefault="00B352DB" w:rsidP="006834D6">
            <w:pPr>
              <w:pStyle w:val="TableText"/>
            </w:pPr>
            <w:r>
              <w:t>Rev</w:t>
            </w:r>
          </w:p>
        </w:tc>
        <w:tc>
          <w:tcPr>
            <w:tcW w:w="2108" w:type="dxa"/>
          </w:tcPr>
          <w:p w14:paraId="5AA42D6C" w14:textId="77777777" w:rsidR="00B352DB" w:rsidRDefault="00B352DB" w:rsidP="006834D6">
            <w:pPr>
              <w:pStyle w:val="TableText"/>
              <w:cnfStyle w:val="100000000000" w:firstRow="1" w:lastRow="0" w:firstColumn="0" w:lastColumn="0" w:oddVBand="0" w:evenVBand="0" w:oddHBand="0" w:evenHBand="0" w:firstRowFirstColumn="0" w:firstRowLastColumn="0" w:lastRowFirstColumn="0" w:lastRowLastColumn="0"/>
            </w:pPr>
            <w:r>
              <w:t>Issue Purpose</w:t>
            </w:r>
          </w:p>
        </w:tc>
        <w:tc>
          <w:tcPr>
            <w:tcW w:w="1239" w:type="dxa"/>
          </w:tcPr>
          <w:p w14:paraId="676F7C12" w14:textId="77777777" w:rsidR="00B352DB" w:rsidRDefault="00B352DB" w:rsidP="006834D6">
            <w:pPr>
              <w:pStyle w:val="TableText"/>
              <w:cnfStyle w:val="100000000000" w:firstRow="1" w:lastRow="0" w:firstColumn="0" w:lastColumn="0" w:oddVBand="0" w:evenVBand="0" w:oddHBand="0" w:evenHBand="0" w:firstRowFirstColumn="0" w:firstRowLastColumn="0" w:lastRowFirstColumn="0" w:lastRowLastColumn="0"/>
            </w:pPr>
            <w:r>
              <w:t>Author</w:t>
            </w:r>
          </w:p>
        </w:tc>
        <w:tc>
          <w:tcPr>
            <w:tcW w:w="1241" w:type="dxa"/>
          </w:tcPr>
          <w:p w14:paraId="3AF7B7B3" w14:textId="77777777" w:rsidR="00B352DB" w:rsidRDefault="00B352DB" w:rsidP="006834D6">
            <w:pPr>
              <w:pStyle w:val="TableText"/>
              <w:cnfStyle w:val="100000000000" w:firstRow="1" w:lastRow="0" w:firstColumn="0" w:lastColumn="0" w:oddVBand="0" w:evenVBand="0" w:oddHBand="0" w:evenHBand="0" w:firstRowFirstColumn="0" w:firstRowLastColumn="0" w:lastRowFirstColumn="0" w:lastRowLastColumn="0"/>
            </w:pPr>
            <w:r>
              <w:t>Checked</w:t>
            </w:r>
          </w:p>
        </w:tc>
        <w:tc>
          <w:tcPr>
            <w:tcW w:w="1243" w:type="dxa"/>
          </w:tcPr>
          <w:p w14:paraId="4C4F1CDA" w14:textId="77777777" w:rsidR="00B352DB" w:rsidRDefault="00B352DB" w:rsidP="006834D6">
            <w:pPr>
              <w:pStyle w:val="TableText"/>
              <w:cnfStyle w:val="100000000000" w:firstRow="1" w:lastRow="0" w:firstColumn="0" w:lastColumn="0" w:oddVBand="0" w:evenVBand="0" w:oddHBand="0" w:evenHBand="0" w:firstRowFirstColumn="0" w:firstRowLastColumn="0" w:lastRowFirstColumn="0" w:lastRowLastColumn="0"/>
            </w:pPr>
            <w:r>
              <w:t>Reviewed</w:t>
            </w:r>
          </w:p>
        </w:tc>
        <w:tc>
          <w:tcPr>
            <w:tcW w:w="1243" w:type="dxa"/>
          </w:tcPr>
          <w:p w14:paraId="1212B456" w14:textId="77777777" w:rsidR="00B352DB" w:rsidRDefault="00B352DB" w:rsidP="006834D6">
            <w:pPr>
              <w:pStyle w:val="TableText"/>
              <w:cnfStyle w:val="100000000000" w:firstRow="1" w:lastRow="0" w:firstColumn="0" w:lastColumn="0" w:oddVBand="0" w:evenVBand="0" w:oddHBand="0" w:evenHBand="0" w:firstRowFirstColumn="0" w:firstRowLastColumn="0" w:lastRowFirstColumn="0" w:lastRowLastColumn="0"/>
            </w:pPr>
            <w:r>
              <w:t>Approved</w:t>
            </w:r>
          </w:p>
        </w:tc>
        <w:tc>
          <w:tcPr>
            <w:tcW w:w="1278" w:type="dxa"/>
          </w:tcPr>
          <w:p w14:paraId="729CF240" w14:textId="77777777" w:rsidR="00B352DB" w:rsidRDefault="00B352DB" w:rsidP="006834D6">
            <w:pPr>
              <w:pStyle w:val="TableText"/>
              <w:cnfStyle w:val="100000000000" w:firstRow="1" w:lastRow="0" w:firstColumn="0" w:lastColumn="0" w:oddVBand="0" w:evenVBand="0" w:oddHBand="0" w:evenHBand="0" w:firstRowFirstColumn="0" w:firstRowLastColumn="0" w:lastRowFirstColumn="0" w:lastRowLastColumn="0"/>
            </w:pPr>
            <w:r>
              <w:t>Date</w:t>
            </w:r>
          </w:p>
        </w:tc>
      </w:tr>
      <w:tr w:rsidR="00B352DB" w14:paraId="06DDB57D" w14:textId="77777777" w:rsidTr="00747A72">
        <w:tc>
          <w:tcPr>
            <w:cnfStyle w:val="001000000000" w:firstRow="0" w:lastRow="0" w:firstColumn="1" w:lastColumn="0" w:oddVBand="0" w:evenVBand="0" w:oddHBand="0" w:evenHBand="0" w:firstRowFirstColumn="0" w:firstRowLastColumn="0" w:lastRowFirstColumn="0" w:lastRowLastColumn="0"/>
            <w:tcW w:w="702" w:type="dxa"/>
          </w:tcPr>
          <w:p w14:paraId="326281C6" w14:textId="62772970" w:rsidR="00B352DB" w:rsidRDefault="00E46A6B" w:rsidP="00E46A6B">
            <w:pPr>
              <w:pStyle w:val="MKRevNum"/>
              <w:numPr>
                <w:ilvl w:val="0"/>
                <w:numId w:val="0"/>
              </w:numPr>
            </w:pPr>
            <w:r>
              <w:t>01</w:t>
            </w:r>
          </w:p>
        </w:tc>
        <w:tc>
          <w:tcPr>
            <w:tcW w:w="2108" w:type="dxa"/>
          </w:tcPr>
          <w:p w14:paraId="08195A28" w14:textId="7CDE099B" w:rsidR="00B352DB" w:rsidRDefault="00C94EB1" w:rsidP="006834D6">
            <w:pPr>
              <w:pStyle w:val="TableText"/>
              <w:cnfStyle w:val="000000000000" w:firstRow="0" w:lastRow="0" w:firstColumn="0" w:lastColumn="0" w:oddVBand="0" w:evenVBand="0" w:oddHBand="0" w:evenHBand="0" w:firstRowFirstColumn="0" w:firstRowLastColumn="0" w:lastRowFirstColumn="0" w:lastRowLastColumn="0"/>
            </w:pPr>
            <w:r>
              <w:t>Draft</w:t>
            </w:r>
          </w:p>
        </w:tc>
        <w:tc>
          <w:tcPr>
            <w:tcW w:w="1239" w:type="dxa"/>
          </w:tcPr>
          <w:p w14:paraId="4FA4601C" w14:textId="5D5DFADB" w:rsidR="00B352DB" w:rsidRDefault="00C94EB1" w:rsidP="006834D6">
            <w:pPr>
              <w:pStyle w:val="TableText"/>
              <w:cnfStyle w:val="000000000000" w:firstRow="0" w:lastRow="0" w:firstColumn="0" w:lastColumn="0" w:oddVBand="0" w:evenVBand="0" w:oddHBand="0" w:evenHBand="0" w:firstRowFirstColumn="0" w:firstRowLastColumn="0" w:lastRowFirstColumn="0" w:lastRowLastColumn="0"/>
            </w:pPr>
            <w:r>
              <w:t>MH/HA</w:t>
            </w:r>
          </w:p>
        </w:tc>
        <w:tc>
          <w:tcPr>
            <w:tcW w:w="1241" w:type="dxa"/>
          </w:tcPr>
          <w:p w14:paraId="7007F91F" w14:textId="7C199990" w:rsidR="00B352DB" w:rsidRDefault="00C94EB1" w:rsidP="006834D6">
            <w:pPr>
              <w:pStyle w:val="TableText"/>
              <w:cnfStyle w:val="000000000000" w:firstRow="0" w:lastRow="0" w:firstColumn="0" w:lastColumn="0" w:oddVBand="0" w:evenVBand="0" w:oddHBand="0" w:evenHBand="0" w:firstRowFirstColumn="0" w:firstRowLastColumn="0" w:lastRowFirstColumn="0" w:lastRowLastColumn="0"/>
            </w:pPr>
            <w:r>
              <w:t>AN</w:t>
            </w:r>
          </w:p>
        </w:tc>
        <w:tc>
          <w:tcPr>
            <w:tcW w:w="1243" w:type="dxa"/>
          </w:tcPr>
          <w:p w14:paraId="7CED0A20" w14:textId="795C4CD1" w:rsidR="00B352DB" w:rsidRDefault="00C94EB1" w:rsidP="006834D6">
            <w:pPr>
              <w:pStyle w:val="TableText"/>
              <w:cnfStyle w:val="000000000000" w:firstRow="0" w:lastRow="0" w:firstColumn="0" w:lastColumn="0" w:oddVBand="0" w:evenVBand="0" w:oddHBand="0" w:evenHBand="0" w:firstRowFirstColumn="0" w:firstRowLastColumn="0" w:lastRowFirstColumn="0" w:lastRowLastColumn="0"/>
            </w:pPr>
            <w:r>
              <w:t>MH/HA</w:t>
            </w:r>
          </w:p>
        </w:tc>
        <w:tc>
          <w:tcPr>
            <w:tcW w:w="1243" w:type="dxa"/>
          </w:tcPr>
          <w:p w14:paraId="2CAA752C" w14:textId="2F5000B8" w:rsidR="00B352DB" w:rsidRDefault="00C94EB1" w:rsidP="006834D6">
            <w:pPr>
              <w:pStyle w:val="TableText"/>
              <w:cnfStyle w:val="000000000000" w:firstRow="0" w:lastRow="0" w:firstColumn="0" w:lastColumn="0" w:oddVBand="0" w:evenVBand="0" w:oddHBand="0" w:evenHBand="0" w:firstRowFirstColumn="0" w:firstRowLastColumn="0" w:lastRowFirstColumn="0" w:lastRowLastColumn="0"/>
            </w:pPr>
            <w:r>
              <w:t>AN</w:t>
            </w:r>
          </w:p>
        </w:tc>
        <w:tc>
          <w:tcPr>
            <w:tcW w:w="1278" w:type="dxa"/>
          </w:tcPr>
          <w:p w14:paraId="225DE317" w14:textId="4DFE62FF" w:rsidR="00B352DB" w:rsidRDefault="00212A57" w:rsidP="006834D6">
            <w:pPr>
              <w:pStyle w:val="TableText"/>
              <w:cnfStyle w:val="000000000000" w:firstRow="0" w:lastRow="0" w:firstColumn="0" w:lastColumn="0" w:oddVBand="0" w:evenVBand="0" w:oddHBand="0" w:evenHBand="0" w:firstRowFirstColumn="0" w:firstRowLastColumn="0" w:lastRowFirstColumn="0" w:lastRowLastColumn="0"/>
            </w:pPr>
            <w:r>
              <w:t>21</w:t>
            </w:r>
            <w:r w:rsidR="00C94EB1">
              <w:t>/04/2023</w:t>
            </w:r>
          </w:p>
        </w:tc>
      </w:tr>
      <w:tr w:rsidR="0099381E" w14:paraId="10BAFA43" w14:textId="77777777" w:rsidTr="00747A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dxa"/>
          </w:tcPr>
          <w:p w14:paraId="6E2FDA80" w14:textId="6D1B3784" w:rsidR="0099381E" w:rsidRDefault="0099381E" w:rsidP="0099381E">
            <w:pPr>
              <w:pStyle w:val="MKRevNum"/>
              <w:numPr>
                <w:ilvl w:val="0"/>
                <w:numId w:val="0"/>
              </w:numPr>
            </w:pPr>
            <w:r>
              <w:t>02</w:t>
            </w:r>
          </w:p>
        </w:tc>
        <w:tc>
          <w:tcPr>
            <w:tcW w:w="2108" w:type="dxa"/>
          </w:tcPr>
          <w:p w14:paraId="3CDE5F81" w14:textId="7E7B4F9A" w:rsidR="0099381E" w:rsidRDefault="0099381E" w:rsidP="0099381E">
            <w:pPr>
              <w:pStyle w:val="TableText"/>
              <w:cnfStyle w:val="000000010000" w:firstRow="0" w:lastRow="0" w:firstColumn="0" w:lastColumn="0" w:oddVBand="0" w:evenVBand="0" w:oddHBand="0" w:evenHBand="1" w:firstRowFirstColumn="0" w:firstRowLastColumn="0" w:lastRowFirstColumn="0" w:lastRowLastColumn="0"/>
            </w:pPr>
            <w:r>
              <w:t>Final</w:t>
            </w:r>
          </w:p>
        </w:tc>
        <w:tc>
          <w:tcPr>
            <w:tcW w:w="1239" w:type="dxa"/>
          </w:tcPr>
          <w:p w14:paraId="3A02AD35" w14:textId="74FAE6EE" w:rsidR="0099381E" w:rsidRDefault="0099381E" w:rsidP="0099381E">
            <w:pPr>
              <w:pStyle w:val="TableText"/>
              <w:cnfStyle w:val="000000010000" w:firstRow="0" w:lastRow="0" w:firstColumn="0" w:lastColumn="0" w:oddVBand="0" w:evenVBand="0" w:oddHBand="0" w:evenHBand="1" w:firstRowFirstColumn="0" w:firstRowLastColumn="0" w:lastRowFirstColumn="0" w:lastRowLastColumn="0"/>
            </w:pPr>
            <w:r>
              <w:t>MH/HA</w:t>
            </w:r>
          </w:p>
        </w:tc>
        <w:tc>
          <w:tcPr>
            <w:tcW w:w="1241" w:type="dxa"/>
          </w:tcPr>
          <w:p w14:paraId="13BB9FD3" w14:textId="587A1CB7" w:rsidR="0099381E" w:rsidRDefault="0099381E" w:rsidP="0099381E">
            <w:pPr>
              <w:pStyle w:val="TableText"/>
              <w:cnfStyle w:val="000000010000" w:firstRow="0" w:lastRow="0" w:firstColumn="0" w:lastColumn="0" w:oddVBand="0" w:evenVBand="0" w:oddHBand="0" w:evenHBand="1" w:firstRowFirstColumn="0" w:firstRowLastColumn="0" w:lastRowFirstColumn="0" w:lastRowLastColumn="0"/>
            </w:pPr>
            <w:r>
              <w:t>AN</w:t>
            </w:r>
          </w:p>
        </w:tc>
        <w:tc>
          <w:tcPr>
            <w:tcW w:w="1243" w:type="dxa"/>
          </w:tcPr>
          <w:p w14:paraId="1FEF25C4" w14:textId="5FAC73D1" w:rsidR="0099381E" w:rsidRDefault="0099381E" w:rsidP="0099381E">
            <w:pPr>
              <w:pStyle w:val="TableText"/>
              <w:cnfStyle w:val="000000010000" w:firstRow="0" w:lastRow="0" w:firstColumn="0" w:lastColumn="0" w:oddVBand="0" w:evenVBand="0" w:oddHBand="0" w:evenHBand="1" w:firstRowFirstColumn="0" w:firstRowLastColumn="0" w:lastRowFirstColumn="0" w:lastRowLastColumn="0"/>
            </w:pPr>
            <w:r>
              <w:t>MH/HA</w:t>
            </w:r>
          </w:p>
        </w:tc>
        <w:tc>
          <w:tcPr>
            <w:tcW w:w="1243" w:type="dxa"/>
          </w:tcPr>
          <w:p w14:paraId="348887F3" w14:textId="75E402DF" w:rsidR="0099381E" w:rsidRDefault="0099381E" w:rsidP="0099381E">
            <w:pPr>
              <w:pStyle w:val="TableText"/>
              <w:cnfStyle w:val="000000010000" w:firstRow="0" w:lastRow="0" w:firstColumn="0" w:lastColumn="0" w:oddVBand="0" w:evenVBand="0" w:oddHBand="0" w:evenHBand="1" w:firstRowFirstColumn="0" w:firstRowLastColumn="0" w:lastRowFirstColumn="0" w:lastRowLastColumn="0"/>
            </w:pPr>
            <w:r>
              <w:t>AN</w:t>
            </w:r>
          </w:p>
        </w:tc>
        <w:tc>
          <w:tcPr>
            <w:tcW w:w="1278" w:type="dxa"/>
          </w:tcPr>
          <w:p w14:paraId="74D45482" w14:textId="45F054E5" w:rsidR="0099381E" w:rsidRDefault="0099381E" w:rsidP="0099381E">
            <w:pPr>
              <w:pStyle w:val="TableText"/>
              <w:cnfStyle w:val="000000010000" w:firstRow="0" w:lastRow="0" w:firstColumn="0" w:lastColumn="0" w:oddVBand="0" w:evenVBand="0" w:oddHBand="0" w:evenHBand="1" w:firstRowFirstColumn="0" w:firstRowLastColumn="0" w:lastRowFirstColumn="0" w:lastRowLastColumn="0"/>
            </w:pPr>
            <w:r>
              <w:t>25/04/2023</w:t>
            </w:r>
          </w:p>
        </w:tc>
      </w:tr>
    </w:tbl>
    <w:p w14:paraId="02881E82" w14:textId="77777777" w:rsidR="00A92A8D" w:rsidRPr="00F6184C" w:rsidRDefault="00A92A8D" w:rsidP="00F6184C">
      <w:pPr>
        <w:pStyle w:val="MarkidesLine"/>
      </w:pPr>
    </w:p>
    <w:p w14:paraId="3B070724" w14:textId="77777777" w:rsidR="00167D99" w:rsidRDefault="00167D99" w:rsidP="00167D99">
      <w:pPr>
        <w:pStyle w:val="BodyText"/>
        <w:sectPr w:rsidR="00167D99" w:rsidSect="00F77F69">
          <w:headerReference w:type="default" r:id="rId9"/>
          <w:footerReference w:type="default" r:id="rId10"/>
          <w:pgSz w:w="11900" w:h="16840" w:code="9"/>
          <w:pgMar w:top="1814" w:right="1418" w:bottom="1418" w:left="1418" w:header="720" w:footer="720" w:gutter="0"/>
          <w:cols w:space="720"/>
          <w:docGrid w:linePitch="360"/>
        </w:sectPr>
      </w:pPr>
    </w:p>
    <w:p w14:paraId="17A9C67A" w14:textId="65CA43F9" w:rsidR="00F77F69" w:rsidRPr="001E7943" w:rsidRDefault="00C94EB1" w:rsidP="00FC429B">
      <w:pPr>
        <w:pStyle w:val="Heading1"/>
      </w:pPr>
      <w:r>
        <w:t xml:space="preserve">Introduction </w:t>
      </w:r>
    </w:p>
    <w:p w14:paraId="3EF94B10" w14:textId="041EA61F" w:rsidR="00E46A6B" w:rsidRDefault="00E46A6B" w:rsidP="00E46A6B">
      <w:pPr>
        <w:pStyle w:val="BodyTextNumbered"/>
      </w:pPr>
      <w:proofErr w:type="spellStart"/>
      <w:r>
        <w:t>Markides</w:t>
      </w:r>
      <w:proofErr w:type="spellEnd"/>
      <w:r>
        <w:t xml:space="preserve"> Associates ha</w:t>
      </w:r>
      <w:r w:rsidR="00174DF6">
        <w:t>s</w:t>
      </w:r>
      <w:r>
        <w:t xml:space="preserve"> been commissioned by The Hadlow Estate to review and respond to the initial findings of the Inspector with respect to the proposals at Tudeley </w:t>
      </w:r>
      <w:r w:rsidR="00174DF6">
        <w:t xml:space="preserve">Garden </w:t>
      </w:r>
      <w:r>
        <w:t>Village</w:t>
      </w:r>
      <w:r w:rsidR="00174DF6">
        <w:t xml:space="preserve"> (TGV)</w:t>
      </w:r>
      <w:r w:rsidR="006F38D5">
        <w:t xml:space="preserve">, promoted through the </w:t>
      </w:r>
      <w:r w:rsidR="00174DF6">
        <w:t>e</w:t>
      </w:r>
      <w:r w:rsidR="006F38D5">
        <w:t>merging Tunbridge Wells Borough Local Plan.</w:t>
      </w:r>
    </w:p>
    <w:p w14:paraId="125E87A8" w14:textId="386C81E7" w:rsidR="006F38D5" w:rsidRDefault="003C220E" w:rsidP="00E46A6B">
      <w:pPr>
        <w:pStyle w:val="BodyTextNumbered"/>
      </w:pPr>
      <w:r>
        <w:t>Following the Local Plan examination and associated hearings, the Inspector’s initial findings were published in November 2022. The initial findings, amongst other matters, discussed Policy STR/SS3, The Strategy for Tudeley Village, which seeks to develop a new settlement between Paddock Wood and Tonbridge.</w:t>
      </w:r>
    </w:p>
    <w:p w14:paraId="5807AB9E" w14:textId="012C1CCD" w:rsidR="00747A72" w:rsidRDefault="003C220E" w:rsidP="00E46A6B">
      <w:pPr>
        <w:pStyle w:val="BodyTextNumbered"/>
      </w:pPr>
      <w:r>
        <w:t xml:space="preserve">The Inspector offered several comments with respect to the proposed </w:t>
      </w:r>
      <w:r w:rsidR="00174DF6">
        <w:t>TGV</w:t>
      </w:r>
      <w:r>
        <w:t xml:space="preserve"> allocation, raising concerns regarding the justification and effectiveness of the proposed allocation along with its impacts on the Green Belt. This </w:t>
      </w:r>
      <w:r w:rsidR="00747A72">
        <w:t>Technical Note seeks to review and respond to the comments raised regarding the transport strategy and associated evidence base presented for the site. The comments raised by the Inspector with respect to the transport strategy focus on four key areas:-</w:t>
      </w:r>
    </w:p>
    <w:p w14:paraId="16A945CC" w14:textId="4DE44398" w:rsidR="00747A72" w:rsidRDefault="00747A72" w:rsidP="00747A72">
      <w:pPr>
        <w:pStyle w:val="ListBullet"/>
      </w:pPr>
      <w:r>
        <w:t>Bus Provision;</w:t>
      </w:r>
    </w:p>
    <w:p w14:paraId="4901FD3A" w14:textId="42981A62" w:rsidR="00747A72" w:rsidRDefault="00747A72" w:rsidP="00747A72">
      <w:pPr>
        <w:pStyle w:val="ListBullet"/>
      </w:pPr>
      <w:r>
        <w:t>Walking and Cycling Infrastructure;</w:t>
      </w:r>
    </w:p>
    <w:p w14:paraId="50493476" w14:textId="5CF0FC17" w:rsidR="00747A72" w:rsidRDefault="00747A72" w:rsidP="00747A72">
      <w:pPr>
        <w:pStyle w:val="ListBullet"/>
      </w:pPr>
      <w:r>
        <w:t>Trip Internalisation, Modal Shift and Severity</w:t>
      </w:r>
      <w:r w:rsidR="004D6BD4">
        <w:t xml:space="preserve"> of Traffic Impacts</w:t>
      </w:r>
      <w:r>
        <w:t>; and</w:t>
      </w:r>
    </w:p>
    <w:p w14:paraId="75DDE711" w14:textId="074718F9" w:rsidR="00747A72" w:rsidRDefault="00747A72" w:rsidP="00747A72">
      <w:pPr>
        <w:pStyle w:val="ListBullet"/>
      </w:pPr>
      <w:r>
        <w:t>Five Oak Green Bypass.</w:t>
      </w:r>
    </w:p>
    <w:p w14:paraId="4D95C06E" w14:textId="79CB0157" w:rsidR="00747A72" w:rsidRDefault="00747A72" w:rsidP="00747A72">
      <w:pPr>
        <w:pStyle w:val="BodyTextNumbered"/>
      </w:pPr>
      <w:r>
        <w:t xml:space="preserve">Each of these areas will be considered in turn </w:t>
      </w:r>
      <w:r w:rsidR="00B10B27">
        <w:t>within this technical response.</w:t>
      </w:r>
    </w:p>
    <w:p w14:paraId="6439AC71" w14:textId="687FAA12" w:rsidR="00644BD4" w:rsidRDefault="00593C6F" w:rsidP="0099381E">
      <w:pPr>
        <w:pStyle w:val="Heading1"/>
      </w:pPr>
      <w:r>
        <w:br w:type="page"/>
      </w:r>
      <w:r w:rsidR="00644BD4">
        <w:lastRenderedPageBreak/>
        <w:t>Bus Provision</w:t>
      </w:r>
    </w:p>
    <w:p w14:paraId="33A5F9A6" w14:textId="02307157" w:rsidR="00C201BE" w:rsidRDefault="001D1CC1" w:rsidP="00C201BE">
      <w:pPr>
        <w:pStyle w:val="BodyTextNumbered"/>
      </w:pPr>
      <w:r>
        <w:t>T</w:t>
      </w:r>
      <w:r w:rsidR="00B10B27">
        <w:t xml:space="preserve">he </w:t>
      </w:r>
      <w:r w:rsidR="00897F88">
        <w:t>I</w:t>
      </w:r>
      <w:r w:rsidR="00B10B27">
        <w:t>nspector</w:t>
      </w:r>
      <w:r w:rsidR="00C201BE">
        <w:t>’</w:t>
      </w:r>
      <w:r w:rsidR="00B10B27">
        <w:t>s</w:t>
      </w:r>
      <w:r w:rsidR="00C201BE">
        <w:t xml:space="preserve"> initial</w:t>
      </w:r>
      <w:r w:rsidR="00B10B27">
        <w:t xml:space="preserve"> findings</w:t>
      </w:r>
      <w:r w:rsidR="00C201BE">
        <w:t xml:space="preserve"> </w:t>
      </w:r>
      <w:r w:rsidR="00226E6F">
        <w:t>make</w:t>
      </w:r>
      <w:r w:rsidR="00C201BE">
        <w:t xml:space="preserve"> a number of comments on the feasibility and effectiveness of the proposed bus improvements through </w:t>
      </w:r>
      <w:r w:rsidR="00174DF6">
        <w:t>the proposed TGV</w:t>
      </w:r>
      <w:r w:rsidR="00C201BE">
        <w:t xml:space="preserve">. The </w:t>
      </w:r>
      <w:r w:rsidR="00897F88">
        <w:t>I</w:t>
      </w:r>
      <w:r w:rsidR="00C201BE">
        <w:t xml:space="preserve">nspector </w:t>
      </w:r>
      <w:r w:rsidR="000220DC">
        <w:t xml:space="preserve">notes that </w:t>
      </w:r>
      <w:r w:rsidR="00C201BE">
        <w:t>without a new rail</w:t>
      </w:r>
      <w:r w:rsidR="000220DC">
        <w:t>way station</w:t>
      </w:r>
      <w:r w:rsidR="00C201BE">
        <w:t>, the site’s sustainable transport aspirations are reliant on buses alongside active travel.</w:t>
      </w:r>
    </w:p>
    <w:p w14:paraId="389CDA5C" w14:textId="026FEEC7" w:rsidR="001C5116" w:rsidRDefault="001C5116" w:rsidP="00C201BE">
      <w:pPr>
        <w:pStyle w:val="BodyTextNumbered"/>
      </w:pPr>
      <w:r>
        <w:t>WSP’s previous work</w:t>
      </w:r>
      <w:r>
        <w:rPr>
          <w:rStyle w:val="FootnoteReference"/>
        </w:rPr>
        <w:footnoteReference w:id="1"/>
      </w:r>
      <w:r>
        <w:t xml:space="preserve"> on behalf of </w:t>
      </w:r>
      <w:r w:rsidR="00174DF6">
        <w:t>the TGV proposal</w:t>
      </w:r>
      <w:r w:rsidR="00D03FC5">
        <w:t xml:space="preserve"> </w:t>
      </w:r>
      <w:r>
        <w:t>identifi</w:t>
      </w:r>
      <w:r w:rsidR="001D1CC1">
        <w:t>es</w:t>
      </w:r>
      <w:r>
        <w:t xml:space="preserve"> </w:t>
      </w:r>
      <w:r w:rsidR="0069422E">
        <w:t xml:space="preserve">the enhancement of the </w:t>
      </w:r>
      <w:r>
        <w:t xml:space="preserve"> existing bus route serving the B2017 corridor between the towns of T</w:t>
      </w:r>
      <w:r w:rsidR="00897F88">
        <w:t>o</w:t>
      </w:r>
      <w:r>
        <w:t xml:space="preserve">nbridge and Paddock Wood. The </w:t>
      </w:r>
      <w:r w:rsidR="00174DF6">
        <w:t>I</w:t>
      </w:r>
      <w:r>
        <w:t xml:space="preserve">nspector correctly </w:t>
      </w:r>
      <w:r w:rsidR="0069422E">
        <w:t>notes</w:t>
      </w:r>
      <w:r>
        <w:t xml:space="preserve"> that the existing route 205 only runs hourly, Monday-Friday, between the hours of 07:35 and 18:02.</w:t>
      </w:r>
      <w:r w:rsidR="001A41FF">
        <w:t xml:space="preserve"> Existing census data shared within the same report demonstrates that this level of service is only attributable to a 1% mode share for buses</w:t>
      </w:r>
      <w:r w:rsidR="000220DC">
        <w:t xml:space="preserve"> for travel to work</w:t>
      </w:r>
      <w:r w:rsidR="001A41FF">
        <w:t>.</w:t>
      </w:r>
    </w:p>
    <w:p w14:paraId="14F39C6B" w14:textId="56E238C4" w:rsidR="009A64BE" w:rsidRDefault="001A41FF" w:rsidP="00C201BE">
      <w:pPr>
        <w:pStyle w:val="BodyTextNumbered"/>
      </w:pPr>
      <w:r>
        <w:t>WSP therefore propose</w:t>
      </w:r>
      <w:r w:rsidR="00174DF6">
        <w:t>d</w:t>
      </w:r>
      <w:r>
        <w:t xml:space="preserve"> that this service be increased to a </w:t>
      </w:r>
      <w:r w:rsidR="00897F88">
        <w:t>30-minute</w:t>
      </w:r>
      <w:r>
        <w:t xml:space="preserve"> service initially, before </w:t>
      </w:r>
      <w:r w:rsidR="0069422E">
        <w:t xml:space="preserve">then </w:t>
      </w:r>
      <w:r>
        <w:t xml:space="preserve">running every 15-minutes once </w:t>
      </w:r>
      <w:r w:rsidR="00174DF6">
        <w:t>TGV</w:t>
      </w:r>
      <w:r>
        <w:t xml:space="preserve"> is sufficiently built out</w:t>
      </w:r>
      <w:r w:rsidR="009A64BE">
        <w:t xml:space="preserve"> </w:t>
      </w:r>
      <w:r>
        <w:t xml:space="preserve">to make </w:t>
      </w:r>
      <w:r w:rsidR="009A64BE">
        <w:t>this</w:t>
      </w:r>
      <w:r>
        <w:t xml:space="preserve"> </w:t>
      </w:r>
      <w:r w:rsidR="00174DF6">
        <w:t xml:space="preserve">a </w:t>
      </w:r>
      <w:r>
        <w:t>more frequent servic</w:t>
      </w:r>
      <w:r w:rsidR="0069422E">
        <w:t>e.</w:t>
      </w:r>
      <w:r>
        <w:t xml:space="preserve"> </w:t>
      </w:r>
      <w:r w:rsidR="00174DF6">
        <w:t>WSP</w:t>
      </w:r>
      <w:r>
        <w:t xml:space="preserve"> also proposed an increase in operational hours, </w:t>
      </w:r>
      <w:r w:rsidR="00686446">
        <w:t xml:space="preserve">running </w:t>
      </w:r>
      <w:r>
        <w:t>from Monday-Saturday</w:t>
      </w:r>
      <w:r w:rsidR="009A64BE">
        <w:t>.</w:t>
      </w:r>
    </w:p>
    <w:p w14:paraId="357083B1" w14:textId="1B350393" w:rsidR="00226E6F" w:rsidRDefault="0069422E" w:rsidP="00226E6F">
      <w:pPr>
        <w:pStyle w:val="BodyTextNumbered"/>
      </w:pPr>
      <w:r w:rsidRPr="008E0D5D">
        <w:t>Th</w:t>
      </w:r>
      <w:r>
        <w:t xml:space="preserve">e provision of such a service through the delivery of </w:t>
      </w:r>
      <w:r w:rsidR="00174DF6">
        <w:t>TGV</w:t>
      </w:r>
      <w:r w:rsidR="00D03FC5">
        <w:t xml:space="preserve"> </w:t>
      </w:r>
      <w:r w:rsidRPr="008E0D5D">
        <w:t xml:space="preserve">is </w:t>
      </w:r>
      <w:r>
        <w:t xml:space="preserve">itself </w:t>
      </w:r>
      <w:r w:rsidR="00226E6F">
        <w:t>backed up by the Infrastructure Delivery Plan (IDP)</w:t>
      </w:r>
      <w:r w:rsidR="00226E6F">
        <w:rPr>
          <w:rStyle w:val="FootnoteReference"/>
        </w:rPr>
        <w:footnoteReference w:id="2"/>
      </w:r>
      <w:r w:rsidR="00226E6F">
        <w:t>, which identifies a “Direct and Rapid” service on route 205 as being a requirement of delivering the Local Plan.</w:t>
      </w:r>
    </w:p>
    <w:p w14:paraId="48C515E1" w14:textId="69BD832F" w:rsidR="001A41FF" w:rsidRDefault="00120AEE" w:rsidP="00C201BE">
      <w:pPr>
        <w:pStyle w:val="BodyTextNumbered"/>
      </w:pPr>
      <w:r w:rsidRPr="00120AEE">
        <w:t xml:space="preserve">It </w:t>
      </w:r>
      <w:r w:rsidR="0069422E">
        <w:t xml:space="preserve">should be </w:t>
      </w:r>
      <w:r w:rsidRPr="00120AEE">
        <w:t xml:space="preserve">noted that </w:t>
      </w:r>
      <w:r>
        <w:t xml:space="preserve">the </w:t>
      </w:r>
      <w:r w:rsidR="0069422E">
        <w:t xml:space="preserve">use of a bus from </w:t>
      </w:r>
      <w:r w:rsidR="00174DF6">
        <w:t>TGV</w:t>
      </w:r>
      <w:r w:rsidR="0069422E">
        <w:t xml:space="preserve"> to Tonbridge Railway Station with a service of sufficient regularity</w:t>
      </w:r>
      <w:r w:rsidR="003B33BD">
        <w:t xml:space="preserve">, becomes </w:t>
      </w:r>
      <w:r w:rsidR="0069422E">
        <w:t>a very attractive option</w:t>
      </w:r>
      <w:r w:rsidR="0025616A">
        <w:t xml:space="preserve">. The </w:t>
      </w:r>
      <w:r w:rsidRPr="00120AEE">
        <w:t xml:space="preserve">current bus journey time using service 205 from Tudeley to Tonbridge railway station is </w:t>
      </w:r>
      <w:r w:rsidR="0025616A">
        <w:t xml:space="preserve">estimated </w:t>
      </w:r>
      <w:r w:rsidRPr="00120AEE">
        <w:t>at</w:t>
      </w:r>
      <w:r w:rsidR="0025616A">
        <w:t xml:space="preserve"> just </w:t>
      </w:r>
      <w:r w:rsidRPr="00120AEE">
        <w:t>15</w:t>
      </w:r>
      <w:r w:rsidR="00897F88">
        <w:t>-</w:t>
      </w:r>
      <w:r w:rsidRPr="00120AEE">
        <w:t xml:space="preserve">minutes at </w:t>
      </w:r>
      <w:r>
        <w:t>0</w:t>
      </w:r>
      <w:r w:rsidRPr="00120AEE">
        <w:t>7</w:t>
      </w:r>
      <w:r w:rsidR="00897F88">
        <w:t>:</w:t>
      </w:r>
      <w:r w:rsidRPr="00120AEE">
        <w:t xml:space="preserve">44 (including an assumed 4-minute walk at the </w:t>
      </w:r>
      <w:r w:rsidR="00174DF6">
        <w:t>TGV</w:t>
      </w:r>
      <w:r w:rsidRPr="00120AEE">
        <w:t xml:space="preserve"> origin point and a 2-minute walk at the Tonbridge station end) using Google maps journey time planner. </w:t>
      </w:r>
      <w:r w:rsidR="009A64BE">
        <w:t>Th</w:t>
      </w:r>
      <w:r w:rsidR="00063BCE">
        <w:t>e 205 route already travel</w:t>
      </w:r>
      <w:r>
        <w:t>s</w:t>
      </w:r>
      <w:r w:rsidR="00063BCE">
        <w:t xml:space="preserve"> via Tudeley and the </w:t>
      </w:r>
      <w:r w:rsidR="009A64BE">
        <w:t xml:space="preserve">masterplan will be designed to ensure every resident of </w:t>
      </w:r>
      <w:r w:rsidR="00174DF6">
        <w:t xml:space="preserve">TGV </w:t>
      </w:r>
      <w:r w:rsidR="009A64BE">
        <w:t xml:space="preserve">is within a 400m walk </w:t>
      </w:r>
      <w:r w:rsidR="00063BCE">
        <w:t xml:space="preserve">(5 minutes) </w:t>
      </w:r>
      <w:r w:rsidR="009A64BE">
        <w:t xml:space="preserve">of </w:t>
      </w:r>
      <w:r w:rsidR="00BF56DD">
        <w:t xml:space="preserve">a bus stop utilised by </w:t>
      </w:r>
      <w:r w:rsidR="009A64BE">
        <w:t xml:space="preserve">this service, as per </w:t>
      </w:r>
      <w:r w:rsidR="0043015A">
        <w:t>the Chartered Institute of Logistics and Transport (</w:t>
      </w:r>
      <w:r w:rsidR="009A64BE">
        <w:t>CIHT</w:t>
      </w:r>
      <w:r w:rsidR="0043015A">
        <w:t>)</w:t>
      </w:r>
      <w:r w:rsidR="009A64BE">
        <w:t xml:space="preserve"> best practice</w:t>
      </w:r>
      <w:r w:rsidR="009A64BE">
        <w:rPr>
          <w:rStyle w:val="FootnoteReference"/>
        </w:rPr>
        <w:footnoteReference w:id="3"/>
      </w:r>
      <w:r w:rsidR="009A64BE">
        <w:t>.</w:t>
      </w:r>
      <w:r w:rsidR="0025616A">
        <w:t xml:space="preserve"> </w:t>
      </w:r>
      <w:r w:rsidR="00D03FC5">
        <w:t>Therefore,</w:t>
      </w:r>
      <w:r w:rsidR="0025616A">
        <w:t xml:space="preserve"> the use of the bus to access Tonbridge Station will be a very clear and attractive choice for those taking public transport. </w:t>
      </w:r>
    </w:p>
    <w:p w14:paraId="6D2119CC" w14:textId="0DBDAEA0" w:rsidR="00F26B27" w:rsidRDefault="00226E6F" w:rsidP="00F26B27">
      <w:pPr>
        <w:pStyle w:val="BodyTextNumbered"/>
      </w:pPr>
      <w:r>
        <w:t>As well as the routing and frequency of any bus service, reliability and average journey times are key to encouraging modal shift toward</w:t>
      </w:r>
      <w:r w:rsidR="00D1762B">
        <w:t>s</w:t>
      </w:r>
      <w:r>
        <w:t xml:space="preserve"> buses. </w:t>
      </w:r>
      <w:r w:rsidR="000220DC">
        <w:t>In this respect</w:t>
      </w:r>
      <w:r>
        <w:t xml:space="preserve">, a significant section of currently private road, owned by the </w:t>
      </w:r>
      <w:r w:rsidR="00F26B27">
        <w:t>promoter</w:t>
      </w:r>
      <w:r>
        <w:t xml:space="preserve"> of </w:t>
      </w:r>
      <w:r w:rsidR="00174DF6">
        <w:t>TGV</w:t>
      </w:r>
      <w:r>
        <w:t xml:space="preserve">, is being offered to Kent County Council </w:t>
      </w:r>
      <w:r w:rsidR="006D185D">
        <w:t xml:space="preserve">(KCC) </w:t>
      </w:r>
      <w:r w:rsidR="0025616A">
        <w:t xml:space="preserve">as part of the </w:t>
      </w:r>
      <w:r w:rsidR="00174DF6">
        <w:t>TGV proposal</w:t>
      </w:r>
      <w:r w:rsidR="0025616A">
        <w:t xml:space="preserve"> </w:t>
      </w:r>
      <w:r>
        <w:t xml:space="preserve">as </w:t>
      </w:r>
      <w:r w:rsidR="00D03FC5">
        <w:t>a dedicated</w:t>
      </w:r>
      <w:r w:rsidR="0025616A">
        <w:t xml:space="preserve"> </w:t>
      </w:r>
      <w:r>
        <w:t>bus</w:t>
      </w:r>
      <w:r w:rsidR="00D1762B">
        <w:t xml:space="preserve"> and</w:t>
      </w:r>
      <w:r>
        <w:t xml:space="preserve"> cycle route. The route along Tudeley Lane, as described in </w:t>
      </w:r>
      <w:r w:rsidR="006D185D">
        <w:t>S</w:t>
      </w:r>
      <w:r>
        <w:t xml:space="preserve">ection 2.3 of the WSP report, connects the bus service from the </w:t>
      </w:r>
      <w:r w:rsidR="00174DF6">
        <w:t xml:space="preserve">TGV site </w:t>
      </w:r>
      <w:r>
        <w:t xml:space="preserve">boundary with Tonbridge, avoiding </w:t>
      </w:r>
      <w:r w:rsidR="00F26B27">
        <w:t xml:space="preserve">the A26 and/or A21, providing significant </w:t>
      </w:r>
      <w:r w:rsidR="00F26B27">
        <w:lastRenderedPageBreak/>
        <w:t>journey time savings.</w:t>
      </w:r>
      <w:r w:rsidR="0025616A">
        <w:t xml:space="preserve"> This will deliver a significant enhancement </w:t>
      </w:r>
      <w:r w:rsidR="00D03FC5">
        <w:t>to</w:t>
      </w:r>
      <w:r w:rsidR="0025616A">
        <w:t xml:space="preserve"> sustainability for the area generally. </w:t>
      </w:r>
    </w:p>
    <w:p w14:paraId="22091A8B" w14:textId="0D6EA94B" w:rsidR="00F26B27" w:rsidRDefault="00F26B27" w:rsidP="00F26B27">
      <w:pPr>
        <w:pStyle w:val="BodyTextNumbered"/>
      </w:pPr>
      <w:r>
        <w:t>It is also expected that other bus journey time savings c</w:t>
      </w:r>
      <w:r w:rsidR="0059585F">
        <w:t>an</w:t>
      </w:r>
      <w:r>
        <w:t xml:space="preserve"> be </w:t>
      </w:r>
      <w:r w:rsidR="0025616A">
        <w:t>delivered</w:t>
      </w:r>
      <w:r>
        <w:t xml:space="preserve"> on the section of the route through Tonbridge itself. The promoters of </w:t>
      </w:r>
      <w:r w:rsidR="00174DF6">
        <w:t>TGV</w:t>
      </w:r>
      <w:r>
        <w:t xml:space="preserve"> </w:t>
      </w:r>
      <w:r w:rsidR="00120AEE">
        <w:t xml:space="preserve">will </w:t>
      </w:r>
      <w:r>
        <w:t>work with</w:t>
      </w:r>
      <w:r w:rsidR="006D185D">
        <w:t xml:space="preserve"> </w:t>
      </w:r>
      <w:r w:rsidR="00120AEE">
        <w:t xml:space="preserve">KCC </w:t>
      </w:r>
      <w:r w:rsidR="00897F88">
        <w:t xml:space="preserve">and </w:t>
      </w:r>
      <w:r>
        <w:t xml:space="preserve">Tonbridge and </w:t>
      </w:r>
      <w:proofErr w:type="spellStart"/>
      <w:r>
        <w:t>Malling</w:t>
      </w:r>
      <w:proofErr w:type="spellEnd"/>
      <w:r>
        <w:t xml:space="preserve"> Borough Council (TMBC) to identify further opportunities to implement bus priority improvements, helping to </w:t>
      </w:r>
      <w:r w:rsidR="0059585F">
        <w:t>further incentivise increased bus travel.</w:t>
      </w:r>
    </w:p>
    <w:p w14:paraId="2A6F5E23" w14:textId="7D004553" w:rsidR="009F47A6" w:rsidRDefault="005D39DB" w:rsidP="00F26B27">
      <w:pPr>
        <w:pStyle w:val="BodyTextNumbered"/>
      </w:pPr>
      <w:r>
        <w:t>A bus feasibility study prepared by KCC</w:t>
      </w:r>
      <w:r>
        <w:rPr>
          <w:rStyle w:val="FootnoteReference"/>
        </w:rPr>
        <w:footnoteReference w:id="4"/>
      </w:r>
      <w:r>
        <w:t xml:space="preserve"> identified a number of further opportunities along the Tonbridge to Paddocks Wood bus corridor that would improve journey times by approximately 17% and bus speeds from 20mph to potentially 24mph, both of which would improve reliability. This study has been prepared by KCC, working in partnership with TWBC, and demonstrates that the delivery of an enhanced bus service along this corridor is already being considered, possibly with the introduction of Bus Rapid Transit (BRT) style measures.</w:t>
      </w:r>
    </w:p>
    <w:p w14:paraId="3967C0EF" w14:textId="4D9F2C93" w:rsidR="00705051" w:rsidRDefault="00705051" w:rsidP="00705051">
      <w:pPr>
        <w:pStyle w:val="BodyTextNumbered"/>
      </w:pPr>
      <w:r>
        <w:t xml:space="preserve">The net effect of these frequency, routing and reliability improvements </w:t>
      </w:r>
      <w:r w:rsidR="0025616A">
        <w:t xml:space="preserve">will be </w:t>
      </w:r>
      <w:r>
        <w:t xml:space="preserve"> a bus service that provide</w:t>
      </w:r>
      <w:r w:rsidR="007F4E78">
        <w:t>s</w:t>
      </w:r>
      <w:r>
        <w:t xml:space="preserve"> a </w:t>
      </w:r>
      <w:r w:rsidR="0025616A">
        <w:t>very attractive</w:t>
      </w:r>
      <w:r>
        <w:t xml:space="preserve"> alternative to travelling by car. This level of service aligns with CIHT best practice, and therefore has the potential to increase the bus mode share to 9% or higher</w:t>
      </w:r>
      <w:r w:rsidR="00B56B0D">
        <w:t xml:space="preserve"> as seen in other </w:t>
      </w:r>
      <w:r w:rsidR="00D43C4D">
        <w:t>areas of the country with comparable bus services</w:t>
      </w:r>
      <w:r>
        <w:rPr>
          <w:rStyle w:val="FootnoteReference"/>
        </w:rPr>
        <w:footnoteReference w:id="5"/>
      </w:r>
      <w:r>
        <w:t>.</w:t>
      </w:r>
    </w:p>
    <w:p w14:paraId="23B97DAC" w14:textId="61F3A7BD" w:rsidR="00120AEE" w:rsidRPr="00120AEE" w:rsidRDefault="00120AEE" w:rsidP="00120AEE">
      <w:pPr>
        <w:pStyle w:val="BodyTextNumbered"/>
      </w:pPr>
      <w:r w:rsidRPr="00120AEE">
        <w:t>The fact that there is an existing bus service running between Paddock Wood, Tudeley and Tonbridge represents an excellent foundation of bus travel on which new development at</w:t>
      </w:r>
      <w:r w:rsidR="006D185D">
        <w:t xml:space="preserve"> </w:t>
      </w:r>
      <w:r w:rsidRPr="00120AEE">
        <w:t>Tudeley can build. The development</w:t>
      </w:r>
      <w:r w:rsidR="0025616A">
        <w:t xml:space="preserve"> at </w:t>
      </w:r>
      <w:r w:rsidR="00174DF6">
        <w:t>TGV</w:t>
      </w:r>
      <w:r w:rsidRPr="00120AEE">
        <w:t xml:space="preserve"> will add a significant number of new passengers to local demand</w:t>
      </w:r>
      <w:r w:rsidR="0025616A">
        <w:t xml:space="preserve"> to ensure the viability of the increased service,</w:t>
      </w:r>
      <w:r w:rsidRPr="00120AEE">
        <w:t xml:space="preserve"> and together with appropriate financial contributions should easily be able to justify the increases in bus frequency and service days, which </w:t>
      </w:r>
      <w:r w:rsidR="0025616A">
        <w:t xml:space="preserve">would </w:t>
      </w:r>
      <w:r w:rsidRPr="00120AEE">
        <w:t xml:space="preserve">be included as a commitment for the development. </w:t>
      </w:r>
    </w:p>
    <w:p w14:paraId="0D2E206E" w14:textId="3EDE146D" w:rsidR="002B328D" w:rsidRDefault="0025616A" w:rsidP="0043015A">
      <w:pPr>
        <w:pStyle w:val="BodyTextNumbered"/>
      </w:pPr>
      <w:r>
        <w:t xml:space="preserve">The </w:t>
      </w:r>
      <w:r w:rsidR="0043015A">
        <w:t xml:space="preserve"> </w:t>
      </w:r>
      <w:r w:rsidR="006D185D">
        <w:t>I</w:t>
      </w:r>
      <w:r w:rsidR="0043015A">
        <w:t xml:space="preserve">nspector </w:t>
      </w:r>
      <w:r>
        <w:t xml:space="preserve">has asked for information about </w:t>
      </w:r>
      <w:r w:rsidR="0001063E">
        <w:t>the feasibility of such a service</w:t>
      </w:r>
      <w:r w:rsidR="00C85091">
        <w:t xml:space="preserve"> in circumstances where</w:t>
      </w:r>
      <w:r w:rsidR="0001063E">
        <w:t xml:space="preserve"> discussions with KCC and bus operators have not progressed to a detailed stage. </w:t>
      </w:r>
      <w:r w:rsidR="00C85091">
        <w:t xml:space="preserve"> As with all any such service,  the</w:t>
      </w:r>
      <w:r w:rsidR="0001063E">
        <w:t xml:space="preserve">  promoters of </w:t>
      </w:r>
      <w:r w:rsidR="00F45879">
        <w:t>TGV</w:t>
      </w:r>
      <w:r w:rsidR="0001063E">
        <w:t xml:space="preserve"> </w:t>
      </w:r>
      <w:r w:rsidR="00C85091">
        <w:t xml:space="preserve">recognise </w:t>
      </w:r>
      <w:r w:rsidR="00C85091" w:rsidRPr="008E0D5D">
        <w:t xml:space="preserve">that </w:t>
      </w:r>
      <w:r w:rsidR="00C85091">
        <w:t>further collaboration will be</w:t>
      </w:r>
      <w:r w:rsidR="00C85091" w:rsidRPr="008E0D5D">
        <w:t xml:space="preserve"> required</w:t>
      </w:r>
      <w:r w:rsidR="00C85091">
        <w:t xml:space="preserve"> in due course</w:t>
      </w:r>
      <w:r w:rsidR="00C85091" w:rsidRPr="008E0D5D">
        <w:t xml:space="preserve"> to deliver</w:t>
      </w:r>
      <w:r w:rsidR="00C85091">
        <w:t xml:space="preserve"> the enhanced</w:t>
      </w:r>
      <w:r w:rsidR="00C85091" w:rsidRPr="008E0D5D">
        <w:t xml:space="preserve"> bus service, but </w:t>
      </w:r>
      <w:r w:rsidR="00C85091">
        <w:t>this is common for this stage of the planning process</w:t>
      </w:r>
      <w:r w:rsidR="0001063E">
        <w:t xml:space="preserve">. WSP </w:t>
      </w:r>
      <w:r w:rsidR="00120AEE">
        <w:t>provided evidence</w:t>
      </w:r>
      <w:r w:rsidR="0001063E">
        <w:t xml:space="preserve"> that</w:t>
      </w:r>
      <w:r w:rsidR="00C85091">
        <w:t xml:space="preserve"> the proposed</w:t>
      </w:r>
      <w:r w:rsidR="00120AEE">
        <w:t xml:space="preserve"> increase</w:t>
      </w:r>
      <w:r w:rsidR="006D185D">
        <w:t xml:space="preserve"> to service</w:t>
      </w:r>
      <w:r w:rsidR="0001063E">
        <w:t xml:space="preserve"> </w:t>
      </w:r>
      <w:r w:rsidR="00120AEE">
        <w:t>level</w:t>
      </w:r>
      <w:r w:rsidR="00C32510">
        <w:t>s</w:t>
      </w:r>
      <w:r w:rsidR="00120AEE">
        <w:t xml:space="preserve"> </w:t>
      </w:r>
      <w:r w:rsidR="0001063E">
        <w:t>would be</w:t>
      </w:r>
      <w:r w:rsidR="00C85091">
        <w:t xml:space="preserve"> self-financing (i</w:t>
      </w:r>
      <w:r w:rsidR="00D03FC5">
        <w:t>.</w:t>
      </w:r>
      <w:r w:rsidR="00C85091">
        <w:t>e</w:t>
      </w:r>
      <w:r w:rsidR="00D03FC5">
        <w:t>.</w:t>
      </w:r>
      <w:r w:rsidR="00C85091">
        <w:t xml:space="preserve"> </w:t>
      </w:r>
      <w:r w:rsidR="00120AEE">
        <w:t xml:space="preserve">commercially </w:t>
      </w:r>
      <w:r w:rsidR="0001063E">
        <w:t xml:space="preserve">viable </w:t>
      </w:r>
      <w:r w:rsidR="00C85091">
        <w:t xml:space="preserve">without contributions </w:t>
      </w:r>
      <w:r w:rsidR="0001063E">
        <w:t>at the point of 2,000 dwelling</w:t>
      </w:r>
      <w:r w:rsidR="000220DC">
        <w:t>s</w:t>
      </w:r>
      <w:r w:rsidR="00C85091">
        <w:t>)</w:t>
      </w:r>
      <w:r w:rsidR="002B328D">
        <w:t>, and that a financial contribution in the estimated order of £600,000-</w:t>
      </w:r>
      <w:r w:rsidR="00120AEE">
        <w:t>£</w:t>
      </w:r>
      <w:r w:rsidR="002B328D">
        <w:t xml:space="preserve">900,000 </w:t>
      </w:r>
      <w:r w:rsidR="00C85091">
        <w:t>is proposed to secure the service</w:t>
      </w:r>
      <w:r w:rsidR="00C85091" w:rsidRPr="008E0D5D">
        <w:t xml:space="preserve"> </w:t>
      </w:r>
      <w:r w:rsidR="002B328D">
        <w:t xml:space="preserve">in the interim period. This </w:t>
      </w:r>
      <w:r w:rsidR="00C85091">
        <w:t>assessment</w:t>
      </w:r>
      <w:r w:rsidR="002B328D">
        <w:t xml:space="preserve"> is a robust </w:t>
      </w:r>
      <w:r w:rsidR="006D185D">
        <w:t>estimate that</w:t>
      </w:r>
      <w:r w:rsidR="002B328D">
        <w:t xml:space="preserve"> would be </w:t>
      </w:r>
      <w:r w:rsidR="00C85091">
        <w:t xml:space="preserve">further detailed as part of any </w:t>
      </w:r>
      <w:r w:rsidR="002B328D">
        <w:t xml:space="preserve"> planning application submission and </w:t>
      </w:r>
      <w:r w:rsidR="00C85091">
        <w:t xml:space="preserve">up to date contributions secured at that </w:t>
      </w:r>
      <w:r w:rsidR="00D03FC5">
        <w:t>stage</w:t>
      </w:r>
      <w:r w:rsidR="00C85091">
        <w:t xml:space="preserve">. </w:t>
      </w:r>
    </w:p>
    <w:p w14:paraId="23A913EA" w14:textId="07E6F668" w:rsidR="00644BD4" w:rsidRDefault="00C85091" w:rsidP="006D185D">
      <w:pPr>
        <w:pStyle w:val="BodyTextNumbered"/>
      </w:pPr>
      <w:r>
        <w:t>Accordingly, the proposed</w:t>
      </w:r>
      <w:r w:rsidR="002B328D">
        <w:t xml:space="preserve"> improvements </w:t>
      </w:r>
      <w:r>
        <w:t xml:space="preserve">to the bus service are </w:t>
      </w:r>
      <w:r w:rsidR="002B328D">
        <w:t xml:space="preserve">appropriate </w:t>
      </w:r>
      <w:r w:rsidR="000220DC">
        <w:t>and</w:t>
      </w:r>
      <w:r w:rsidR="00D03FC5">
        <w:t xml:space="preserve"> </w:t>
      </w:r>
      <w:r w:rsidR="00CA3721">
        <w:t xml:space="preserve">are entirely </w:t>
      </w:r>
      <w:r w:rsidR="000220DC">
        <w:t xml:space="preserve"> deliverable </w:t>
      </w:r>
      <w:r>
        <w:t xml:space="preserve">through the planning process. </w:t>
      </w:r>
      <w:r w:rsidR="002B328D">
        <w:t xml:space="preserve"> The work to</w:t>
      </w:r>
      <w:r w:rsidR="00F45879">
        <w:t>-</w:t>
      </w:r>
      <w:r w:rsidR="002B328D">
        <w:t xml:space="preserve">date has demonstrated that a viable, frequent, direct and </w:t>
      </w:r>
      <w:r>
        <w:t xml:space="preserve">much </w:t>
      </w:r>
      <w:r w:rsidR="002B328D">
        <w:t xml:space="preserve">more reliable bus service </w:t>
      </w:r>
      <w:r>
        <w:t>will</w:t>
      </w:r>
      <w:r w:rsidR="002B328D">
        <w:t xml:space="preserve"> successfully link the site with the </w:t>
      </w:r>
      <w:r w:rsidR="002B328D">
        <w:lastRenderedPageBreak/>
        <w:t xml:space="preserve">two nearest urban centres, Tonbridge </w:t>
      </w:r>
      <w:r w:rsidR="00A225E5">
        <w:t xml:space="preserve">(and Tonbridge railway station) </w:t>
      </w:r>
      <w:r w:rsidR="002B328D">
        <w:t>and Paddock Wood</w:t>
      </w:r>
      <w:r>
        <w:t xml:space="preserve"> via </w:t>
      </w:r>
      <w:r w:rsidR="00F45879">
        <w:t>TGV</w:t>
      </w:r>
      <w:r>
        <w:t xml:space="preserve"> and deliver sustainability not simply for </w:t>
      </w:r>
      <w:r w:rsidR="00F45879">
        <w:t>TGV</w:t>
      </w:r>
      <w:r>
        <w:t xml:space="preserve"> but for this area generally. </w:t>
      </w:r>
    </w:p>
    <w:p w14:paraId="057A3247" w14:textId="77777777" w:rsidR="00644BD4" w:rsidRDefault="00644BD4" w:rsidP="00644BD4">
      <w:pPr>
        <w:pStyle w:val="Heading1"/>
      </w:pPr>
      <w:r>
        <w:t>Walking and Cycling Infrastructure</w:t>
      </w:r>
    </w:p>
    <w:p w14:paraId="436A8541" w14:textId="69514D74" w:rsidR="00644BD4" w:rsidRDefault="00D94C0A" w:rsidP="00644BD4">
      <w:pPr>
        <w:pStyle w:val="BodyTextNumbered"/>
      </w:pPr>
      <w:r>
        <w:t xml:space="preserve">The allocation of </w:t>
      </w:r>
      <w:r w:rsidR="00F45879">
        <w:t>TGV</w:t>
      </w:r>
      <w:r>
        <w:t xml:space="preserve"> </w:t>
      </w:r>
      <w:r w:rsidR="00EA0C2A">
        <w:t xml:space="preserve">will be within an approximate 4km distance </w:t>
      </w:r>
      <w:r w:rsidR="00640FA2">
        <w:t>from</w:t>
      </w:r>
      <w:r w:rsidR="00EA0C2A">
        <w:t xml:space="preserve"> </w:t>
      </w:r>
      <w:r>
        <w:t xml:space="preserve">Tonbridge </w:t>
      </w:r>
      <w:r w:rsidR="00CA51D2">
        <w:t>t</w:t>
      </w:r>
      <w:r>
        <w:t xml:space="preserve">own </w:t>
      </w:r>
      <w:r w:rsidR="00CA51D2">
        <w:t>c</w:t>
      </w:r>
      <w:r>
        <w:t xml:space="preserve">entre and Tonbridge </w:t>
      </w:r>
      <w:r w:rsidR="00CA51D2">
        <w:t>railway</w:t>
      </w:r>
      <w:r>
        <w:t xml:space="preserve"> station. This represents approximately a </w:t>
      </w:r>
      <w:r w:rsidR="00EA0C2A">
        <w:t>4</w:t>
      </w:r>
      <w:r w:rsidR="00356489">
        <w:t>5-minute</w:t>
      </w:r>
      <w:r>
        <w:t xml:space="preserve"> walk or </w:t>
      </w:r>
      <w:r w:rsidR="00440A35">
        <w:t xml:space="preserve">a </w:t>
      </w:r>
      <w:r w:rsidR="00EA0C2A">
        <w:t>15</w:t>
      </w:r>
      <w:r w:rsidR="00356489">
        <w:t>-minute</w:t>
      </w:r>
      <w:r>
        <w:t xml:space="preserve"> cycle ride.</w:t>
      </w:r>
    </w:p>
    <w:p w14:paraId="0EB95DEE" w14:textId="33CCE3B2" w:rsidR="00852394" w:rsidRDefault="00EA0C2A" w:rsidP="00852394">
      <w:pPr>
        <w:pStyle w:val="BodyTextNumbered"/>
      </w:pPr>
      <w:r>
        <w:t>As noted in the</w:t>
      </w:r>
      <w:r w:rsidR="00356489">
        <w:t xml:space="preserve"> </w:t>
      </w:r>
      <w:r w:rsidR="00CA51D2">
        <w:t>I</w:t>
      </w:r>
      <w:r w:rsidR="00356489">
        <w:t>nspector’s findings</w:t>
      </w:r>
      <w:r>
        <w:t xml:space="preserve">, </w:t>
      </w:r>
      <w:r w:rsidR="00356489">
        <w:t xml:space="preserve">this distance is too far to walk in the majority of cases, and therefore the site </w:t>
      </w:r>
      <w:r w:rsidR="00A225E5">
        <w:t xml:space="preserve">will be </w:t>
      </w:r>
      <w:r w:rsidR="00356489">
        <w:t>reliant on cycling trips to meet any active travel aspirations</w:t>
      </w:r>
      <w:r w:rsidR="00640FA2">
        <w:t xml:space="preserve"> for such trips to the town centre of Tonbridge. </w:t>
      </w:r>
      <w:r w:rsidR="00A225E5">
        <w:t>However</w:t>
      </w:r>
      <w:r w:rsidR="00E7044E">
        <w:t>,</w:t>
      </w:r>
      <w:r w:rsidR="00A225E5">
        <w:t xml:space="preserve"> </w:t>
      </w:r>
      <w:r w:rsidR="00640FA2">
        <w:t xml:space="preserve">it is </w:t>
      </w:r>
      <w:r w:rsidR="00B9540A">
        <w:t>considered the</w:t>
      </w:r>
      <w:r w:rsidR="00356489">
        <w:t xml:space="preserve"> site is </w:t>
      </w:r>
      <w:r w:rsidR="00A225E5">
        <w:t>well</w:t>
      </w:r>
      <w:r w:rsidR="00356489">
        <w:t xml:space="preserve"> situated to achieve </w:t>
      </w:r>
      <w:r w:rsidR="001C2F20">
        <w:t xml:space="preserve">a </w:t>
      </w:r>
      <w:r w:rsidR="00356489">
        <w:t xml:space="preserve">significant </w:t>
      </w:r>
      <w:r w:rsidR="00B9540A">
        <w:t xml:space="preserve">number of </w:t>
      </w:r>
      <w:r w:rsidR="00356489">
        <w:t>cycling trips</w:t>
      </w:r>
      <w:r w:rsidR="00852394">
        <w:t xml:space="preserve">, </w:t>
      </w:r>
      <w:r w:rsidR="00B9540A">
        <w:t xml:space="preserve">given that </w:t>
      </w:r>
      <w:r w:rsidR="00852394">
        <w:t xml:space="preserve">the </w:t>
      </w:r>
      <w:r>
        <w:t xml:space="preserve">UK average </w:t>
      </w:r>
      <w:r w:rsidR="00440A35">
        <w:t>cycling</w:t>
      </w:r>
      <w:r>
        <w:t xml:space="preserve"> trip distance </w:t>
      </w:r>
      <w:r w:rsidR="00B9540A">
        <w:t xml:space="preserve">is </w:t>
      </w:r>
      <w:r>
        <w:t xml:space="preserve"> 5.8km</w:t>
      </w:r>
      <w:r w:rsidR="00440A35">
        <w:rPr>
          <w:rStyle w:val="FootnoteReference"/>
        </w:rPr>
        <w:footnoteReference w:id="6"/>
      </w:r>
      <w:r w:rsidR="00440A35">
        <w:t xml:space="preserve"> </w:t>
      </w:r>
      <w:r w:rsidR="00B9540A">
        <w:t xml:space="preserve">as </w:t>
      </w:r>
      <w:r w:rsidR="00440A35">
        <w:t xml:space="preserve">compared to the 4km distance </w:t>
      </w:r>
      <w:r w:rsidR="00B9540A">
        <w:t xml:space="preserve">of </w:t>
      </w:r>
      <w:r w:rsidR="00F45879">
        <w:t>TGV</w:t>
      </w:r>
      <w:r w:rsidR="00B9540A">
        <w:t xml:space="preserve"> from Tonbridge</w:t>
      </w:r>
      <w:r w:rsidR="00440A35">
        <w:t>.</w:t>
      </w:r>
      <w:r w:rsidR="00852394">
        <w:t xml:space="preserve"> </w:t>
      </w:r>
      <w:r w:rsidR="00B9540A">
        <w:t>E</w:t>
      </w:r>
      <w:r w:rsidR="00852394">
        <w:t xml:space="preserve">very resident of </w:t>
      </w:r>
      <w:r w:rsidR="00F45879">
        <w:t xml:space="preserve">TGV </w:t>
      </w:r>
      <w:r w:rsidR="00852394">
        <w:t>would be within a</w:t>
      </w:r>
      <w:r w:rsidR="00A225E5">
        <w:t xml:space="preserve">n easily </w:t>
      </w:r>
      <w:r w:rsidR="00852394">
        <w:t>cyclable distance of T</w:t>
      </w:r>
      <w:r w:rsidR="00440A35">
        <w:t>o</w:t>
      </w:r>
      <w:r w:rsidR="00852394">
        <w:t>nbridge.</w:t>
      </w:r>
    </w:p>
    <w:p w14:paraId="6193D54C" w14:textId="59BF02DA" w:rsidR="00852394" w:rsidRDefault="00852394" w:rsidP="00B9540A">
      <w:pPr>
        <w:pStyle w:val="BodyTextNumbered"/>
      </w:pPr>
      <w:r>
        <w:t>The illustrative masterplan</w:t>
      </w:r>
      <w:r w:rsidR="00B9540A">
        <w:t xml:space="preserve"> provides for the creation of a</w:t>
      </w:r>
      <w:r>
        <w:t xml:space="preserve">  cycle route</w:t>
      </w:r>
      <w:r w:rsidR="00B9540A">
        <w:t xml:space="preserve"> at and</w:t>
      </w:r>
      <w:r>
        <w:t xml:space="preserve"> through the heart of the community. This can and </w:t>
      </w:r>
      <w:r w:rsidR="00B520BB">
        <w:t xml:space="preserve">would </w:t>
      </w:r>
      <w:r>
        <w:t>be LTN1/20 compliant, affording high quality, segregated infrastructure to encourage all levels of ability to cycle</w:t>
      </w:r>
      <w:r w:rsidR="00B9540A">
        <w:t xml:space="preserve"> along this route.</w:t>
      </w:r>
      <w:r>
        <w:t xml:space="preserve"> </w:t>
      </w:r>
      <w:r w:rsidR="004D2945">
        <w:t xml:space="preserve">The design would locate the cycle </w:t>
      </w:r>
      <w:r w:rsidR="000E2E16">
        <w:t>route in areas</w:t>
      </w:r>
      <w:r>
        <w:t xml:space="preserve"> that encourage natural surveillance from neighbouring properties</w:t>
      </w:r>
      <w:r w:rsidR="000E2E16">
        <w:t>.</w:t>
      </w:r>
      <w:r w:rsidR="00B9540A">
        <w:t xml:space="preserve"> </w:t>
      </w:r>
      <w:r w:rsidR="000E2E16">
        <w:t>I</w:t>
      </w:r>
      <w:r w:rsidR="00B9540A">
        <w:t>t would have</w:t>
      </w:r>
      <w:r>
        <w:t xml:space="preserve"> appropriate street lighting</w:t>
      </w:r>
      <w:r w:rsidR="00B9540A">
        <w:t xml:space="preserve"> (addressing the Inspector’s concerns about darker winter months),</w:t>
      </w:r>
      <w:r>
        <w:t xml:space="preserve"> making the route safe and secure. The route would also be hard surfaced, enabling the ability to cycle all year round and outside of daylight hours.</w:t>
      </w:r>
      <w:r w:rsidR="00B9540A">
        <w:t xml:space="preserve"> The reference to usage being affected by inclement weather is a point that would apply to any cycle provision in any part of the country but this is not a reason to treat the provision of such dedicated cycle routes within easy cyclable distance to be unsustainable. </w:t>
      </w:r>
    </w:p>
    <w:p w14:paraId="4E08D212" w14:textId="0FDD5331" w:rsidR="00301268" w:rsidRDefault="00852394" w:rsidP="00301268">
      <w:pPr>
        <w:pStyle w:val="BodyTextNumbered"/>
      </w:pPr>
      <w:r>
        <w:t>Th</w:t>
      </w:r>
      <w:r w:rsidR="001C2F20">
        <w:t>e</w:t>
      </w:r>
      <w:r>
        <w:t xml:space="preserve"> </w:t>
      </w:r>
      <w:r w:rsidR="00B9540A">
        <w:t>delivery of this cycle route at the heart of the community within easy cyclable distance of the major town centre</w:t>
      </w:r>
      <w:r w:rsidR="00EF060D">
        <w:t>s</w:t>
      </w:r>
      <w:r w:rsidR="00B9540A">
        <w:t xml:space="preserve"> and railway stations </w:t>
      </w:r>
      <w:r>
        <w:t xml:space="preserve">fits with the policy ambition to significantly grow cycling mode share, as stated within Central Government’s ‘Decarbonising Transport’ and ‘Gear Change’ reports, as well as </w:t>
      </w:r>
      <w:r w:rsidR="00CA51D2">
        <w:t xml:space="preserve">KCC’s </w:t>
      </w:r>
      <w:r>
        <w:t>‘Local Transport Plan 4</w:t>
      </w:r>
      <w:r w:rsidR="00301268">
        <w:t>’.</w:t>
      </w:r>
    </w:p>
    <w:p w14:paraId="18CBB3E9" w14:textId="5F30ABA5" w:rsidR="00301268" w:rsidRDefault="00500CD7" w:rsidP="00301268">
      <w:pPr>
        <w:pStyle w:val="BodyTextNumbered"/>
      </w:pPr>
      <w:r>
        <w:t>It is recognised that p</w:t>
      </w:r>
      <w:r w:rsidR="00301268">
        <w:t>roviding</w:t>
      </w:r>
      <w:r w:rsidR="004C2853">
        <w:t xml:space="preserve"> such</w:t>
      </w:r>
      <w:r w:rsidR="00B9540A">
        <w:t xml:space="preserve"> </w:t>
      </w:r>
      <w:r w:rsidR="00301268">
        <w:t>good cycle infrastructure across</w:t>
      </w:r>
      <w:r w:rsidR="00C77121">
        <w:t xml:space="preserve"> the</w:t>
      </w:r>
      <w:r w:rsidR="00AC5756">
        <w:t xml:space="preserve"> </w:t>
      </w:r>
      <w:r w:rsidR="00F45879">
        <w:t xml:space="preserve">TGV </w:t>
      </w:r>
      <w:r w:rsidR="004C2853">
        <w:t xml:space="preserve">development </w:t>
      </w:r>
      <w:r w:rsidR="00F5002B">
        <w:t xml:space="preserve">will </w:t>
      </w:r>
      <w:r w:rsidR="004C2853">
        <w:t xml:space="preserve">not only </w:t>
      </w:r>
      <w:r w:rsidR="008F63FA">
        <w:t xml:space="preserve">provide a </w:t>
      </w:r>
      <w:r w:rsidR="00301268">
        <w:t>holistic network that enables cycling into Tonbridge, Five Oa</w:t>
      </w:r>
      <w:r w:rsidR="00CA51D2">
        <w:t>k</w:t>
      </w:r>
      <w:r w:rsidR="00301268">
        <w:t xml:space="preserve"> Green or Paddock Wood</w:t>
      </w:r>
      <w:r w:rsidR="00707DCB">
        <w:t>,</w:t>
      </w:r>
      <w:r w:rsidR="00301268">
        <w:t xml:space="preserve"> </w:t>
      </w:r>
      <w:r w:rsidR="008F63FA">
        <w:t>but</w:t>
      </w:r>
      <w:r w:rsidR="001C2F20">
        <w:t xml:space="preserve"> </w:t>
      </w:r>
      <w:r w:rsidR="00707DCB">
        <w:t xml:space="preserve">will also </w:t>
      </w:r>
      <w:r w:rsidR="00DD189D">
        <w:t>be part of a wider</w:t>
      </w:r>
      <w:r w:rsidR="00301268">
        <w:t xml:space="preserve"> co-ordinated set of proposals </w:t>
      </w:r>
      <w:r w:rsidR="00DD189D">
        <w:t xml:space="preserve"> </w:t>
      </w:r>
      <w:r w:rsidR="00301268">
        <w:t>developed to ensure the</w:t>
      </w:r>
      <w:r w:rsidR="00DD189D">
        <w:t xml:space="preserve"> </w:t>
      </w:r>
      <w:r w:rsidR="001C2F20">
        <w:t>cycle</w:t>
      </w:r>
      <w:r w:rsidR="00301268">
        <w:t xml:space="preserve"> routes are secure, safe and direct across their whole lengths.</w:t>
      </w:r>
    </w:p>
    <w:p w14:paraId="050EAFE5" w14:textId="26227ED6" w:rsidR="00301268" w:rsidRDefault="00301268" w:rsidP="004C0334">
      <w:pPr>
        <w:pStyle w:val="BodyTextNumbered"/>
      </w:pPr>
      <w:r>
        <w:t>The</w:t>
      </w:r>
      <w:r w:rsidR="00DD189D">
        <w:t xml:space="preserve"> </w:t>
      </w:r>
      <w:r>
        <w:t>proposals have been co-ordinated with the developing Tunbridge Wells Borough Council (TWBC) ‘Local Cycling and Walking Infrastructure Plan’ (LCWIP)</w:t>
      </w:r>
      <w:r>
        <w:rPr>
          <w:rStyle w:val="FootnoteReference"/>
        </w:rPr>
        <w:footnoteReference w:id="7"/>
      </w:r>
      <w:r>
        <w:t xml:space="preserve">. </w:t>
      </w:r>
      <w:r w:rsidR="00BA4221" w:rsidRPr="00BA4221">
        <w:rPr>
          <w:rStyle w:val="CrossRef"/>
        </w:rPr>
        <w:fldChar w:fldCharType="begin"/>
      </w:r>
      <w:r w:rsidR="00BA4221" w:rsidRPr="00BA4221">
        <w:rPr>
          <w:rStyle w:val="CrossRef"/>
        </w:rPr>
        <w:instrText xml:space="preserve"> REF _Ref133305831 \h \* CHARFORMAT </w:instrText>
      </w:r>
      <w:r w:rsidR="00BA4221" w:rsidRPr="00BA4221">
        <w:rPr>
          <w:rStyle w:val="CrossRef"/>
        </w:rPr>
      </w:r>
      <w:r w:rsidR="00BA4221" w:rsidRPr="00BA4221">
        <w:rPr>
          <w:rStyle w:val="CrossRef"/>
        </w:rPr>
        <w:fldChar w:fldCharType="separate"/>
      </w:r>
      <w:r w:rsidR="00BA4221" w:rsidRPr="00BA4221">
        <w:rPr>
          <w:rStyle w:val="CrossRef"/>
        </w:rPr>
        <w:t>Figure 3.1</w:t>
      </w:r>
      <w:r w:rsidR="00BA4221" w:rsidRPr="00BA4221">
        <w:rPr>
          <w:rStyle w:val="CrossRef"/>
        </w:rPr>
        <w:fldChar w:fldCharType="end"/>
      </w:r>
      <w:r w:rsidR="00BA4221">
        <w:t xml:space="preserve"> </w:t>
      </w:r>
      <w:r>
        <w:t>sets out the routes proposed for investment within TWBC, including route D</w:t>
      </w:r>
      <w:r w:rsidR="00D2526A">
        <w:t xml:space="preserve"> which </w:t>
      </w:r>
      <w:r w:rsidR="00DD189D">
        <w:t xml:space="preserve">provides the important connection </w:t>
      </w:r>
      <w:r w:rsidR="00D2526A">
        <w:t xml:space="preserve">between Five Oak Green and Tonbridge via the </w:t>
      </w:r>
      <w:r w:rsidR="00F45879">
        <w:t>TGV</w:t>
      </w:r>
      <w:r w:rsidR="00D2526A">
        <w:t xml:space="preserve"> site.</w:t>
      </w:r>
    </w:p>
    <w:p w14:paraId="728AB07E" w14:textId="59E16B68" w:rsidR="0099381E" w:rsidRDefault="00DD189D" w:rsidP="0099381E">
      <w:pPr>
        <w:pStyle w:val="BodyTextNumbered"/>
      </w:pPr>
      <w:r>
        <w:lastRenderedPageBreak/>
        <w:t xml:space="preserve">The proposed </w:t>
      </w:r>
      <w:r w:rsidR="00D2526A">
        <w:t>Route D provide</w:t>
      </w:r>
      <w:r w:rsidR="002758B5">
        <w:t>s</w:t>
      </w:r>
      <w:r w:rsidR="00D2526A">
        <w:t xml:space="preserve"> an option for cyclists</w:t>
      </w:r>
      <w:r w:rsidR="002758B5">
        <w:t xml:space="preserve"> which is </w:t>
      </w:r>
      <w:r w:rsidR="00D2526A">
        <w:t>largely free from traffic, via the public right of way along Postern Lane and the riverside tow path.</w:t>
      </w:r>
      <w:bookmarkStart w:id="0" w:name="_Ref132933073"/>
    </w:p>
    <w:p w14:paraId="40688AAF" w14:textId="4D629061" w:rsidR="00301268" w:rsidRDefault="00301268" w:rsidP="0099381E">
      <w:pPr>
        <w:pStyle w:val="Caption"/>
      </w:pPr>
      <w:bookmarkStart w:id="1" w:name="_Ref133305831"/>
      <w:r>
        <w:t xml:space="preserve">Figure </w:t>
      </w:r>
      <w:r>
        <w:rPr>
          <w:noProof/>
        </w:rPr>
        <w:fldChar w:fldCharType="begin"/>
      </w:r>
      <w:r>
        <w:rPr>
          <w:noProof/>
        </w:rPr>
        <w:instrText xml:space="preserve"> STYLEREF 1 \s </w:instrText>
      </w:r>
      <w:r>
        <w:rPr>
          <w:noProof/>
        </w:rPr>
        <w:fldChar w:fldCharType="separate"/>
      </w:r>
      <w:r w:rsidR="0099381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99381E">
        <w:rPr>
          <w:noProof/>
        </w:rPr>
        <w:t>1</w:t>
      </w:r>
      <w:r>
        <w:rPr>
          <w:noProof/>
        </w:rPr>
        <w:fldChar w:fldCharType="end"/>
      </w:r>
      <w:bookmarkEnd w:id="0"/>
      <w:bookmarkEnd w:id="1"/>
      <w:r>
        <w:tab/>
        <w:t>Tunbridge Wells LCWIP: Cycle Routes</w:t>
      </w:r>
    </w:p>
    <w:p w14:paraId="059D430E" w14:textId="77777777" w:rsidR="00301268" w:rsidRDefault="00301268" w:rsidP="00DE32BD">
      <w:pPr>
        <w:pStyle w:val="Indent"/>
      </w:pPr>
      <w:r>
        <w:rPr>
          <w:noProof/>
        </w:rPr>
        <w:drawing>
          <wp:inline distT="0" distB="0" distL="0" distR="0" wp14:anchorId="20D80734" wp14:editId="08FD9475">
            <wp:extent cx="5470792" cy="38481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474396" cy="3850635"/>
                    </a:xfrm>
                    <a:prstGeom prst="rect">
                      <a:avLst/>
                    </a:prstGeom>
                  </pic:spPr>
                </pic:pic>
              </a:graphicData>
            </a:graphic>
          </wp:inline>
        </w:drawing>
      </w:r>
    </w:p>
    <w:p w14:paraId="7D221DA4" w14:textId="2AC0F8B3" w:rsidR="00301268" w:rsidRDefault="00301268" w:rsidP="00DE32BD">
      <w:pPr>
        <w:pStyle w:val="FigureSource"/>
      </w:pPr>
      <w:r w:rsidRPr="00A65225">
        <w:t xml:space="preserve">Source: </w:t>
      </w:r>
      <w:r>
        <w:t>PJA on behalf of Tunbridge Wells Borough Council</w:t>
      </w:r>
    </w:p>
    <w:p w14:paraId="7B202F69" w14:textId="1DC07EE1" w:rsidR="00CA51D2" w:rsidRDefault="00D2526A" w:rsidP="00CA51D2">
      <w:pPr>
        <w:pStyle w:val="BodyTextNumbered"/>
      </w:pPr>
      <w:r>
        <w:t xml:space="preserve">Given Hadlow Estate own much of the land bordering the B2017 and A26, it is </w:t>
      </w:r>
      <w:r w:rsidR="00671A3B">
        <w:t xml:space="preserve">entirely feasible </w:t>
      </w:r>
      <w:r>
        <w:t xml:space="preserve">to provide </w:t>
      </w:r>
      <w:r w:rsidR="008F5C33">
        <w:t xml:space="preserve">further </w:t>
      </w:r>
      <w:r>
        <w:t>high-quality cycle facilit</w:t>
      </w:r>
      <w:r w:rsidR="00E7044E">
        <w:t>ies</w:t>
      </w:r>
      <w:r>
        <w:t xml:space="preserve">, that </w:t>
      </w:r>
      <w:r w:rsidR="00E7044E">
        <w:t>are</w:t>
      </w:r>
      <w:r>
        <w:t xml:space="preserve"> designed to best practice standards</w:t>
      </w:r>
      <w:r w:rsidR="00C43A1E">
        <w:t>,</w:t>
      </w:r>
      <w:r>
        <w:t xml:space="preserve"> </w:t>
      </w:r>
      <w:r w:rsidR="00760F79">
        <w:t>connecting with other parts of Tonbridge</w:t>
      </w:r>
      <w:r w:rsidR="00C43A1E">
        <w:t xml:space="preserve"> securely and safely. </w:t>
      </w:r>
    </w:p>
    <w:p w14:paraId="0DD2C0D4" w14:textId="1639BE3E" w:rsidR="00A225E5" w:rsidRDefault="00A225E5" w:rsidP="00CA51D2">
      <w:pPr>
        <w:pStyle w:val="Heading3"/>
      </w:pPr>
      <w:r>
        <w:t xml:space="preserve">Cycling </w:t>
      </w:r>
      <w:r w:rsidR="00CA51D2">
        <w:t>C</w:t>
      </w:r>
      <w:r>
        <w:t xml:space="preserve">onnections with Tonbridge </w:t>
      </w:r>
    </w:p>
    <w:p w14:paraId="4100E995" w14:textId="3B57D6B5" w:rsidR="00C43A1E" w:rsidRDefault="00C43A1E" w:rsidP="00760F79">
      <w:pPr>
        <w:pStyle w:val="BodyTextNumbered"/>
      </w:pPr>
      <w:r>
        <w:t xml:space="preserve">TMBC are yet to publish </w:t>
      </w:r>
      <w:r w:rsidR="00DD189D">
        <w:t xml:space="preserve">its </w:t>
      </w:r>
      <w:r>
        <w:t>LCWIP or adopted Active Travel strategy. However, the latest consultation proposals from March 2022</w:t>
      </w:r>
      <w:r>
        <w:rPr>
          <w:rStyle w:val="FootnoteReference"/>
        </w:rPr>
        <w:footnoteReference w:id="8"/>
      </w:r>
      <w:r>
        <w:t xml:space="preserve"> focus cycling improvements</w:t>
      </w:r>
      <w:r w:rsidR="00D350B4">
        <w:t>, with a number of suggested route</w:t>
      </w:r>
      <w:r w:rsidR="008803F3">
        <w:t>s,</w:t>
      </w:r>
      <w:r>
        <w:t xml:space="preserve"> as shown in </w:t>
      </w:r>
      <w:r w:rsidRPr="00BA4221">
        <w:rPr>
          <w:rStyle w:val="CrossRef"/>
        </w:rPr>
        <w:fldChar w:fldCharType="begin"/>
      </w:r>
      <w:r w:rsidR="00CA51D2" w:rsidRPr="00BA4221">
        <w:rPr>
          <w:rStyle w:val="CrossRef"/>
        </w:rPr>
        <w:instrText xml:space="preserve"> REF _Ref132956575 \h \* CHARFORMAT </w:instrText>
      </w:r>
      <w:r w:rsidRPr="00BA4221">
        <w:rPr>
          <w:rStyle w:val="CrossRef"/>
        </w:rPr>
      </w:r>
      <w:r w:rsidRPr="00BA4221">
        <w:rPr>
          <w:rStyle w:val="CrossRef"/>
        </w:rPr>
        <w:fldChar w:fldCharType="separate"/>
      </w:r>
      <w:r w:rsidR="0099381E" w:rsidRPr="00BA4221">
        <w:rPr>
          <w:rStyle w:val="CrossRef"/>
        </w:rPr>
        <w:t>Figure 3.2</w:t>
      </w:r>
      <w:r w:rsidRPr="00BA4221">
        <w:rPr>
          <w:rStyle w:val="CrossRef"/>
        </w:rPr>
        <w:fldChar w:fldCharType="end"/>
      </w:r>
      <w:r>
        <w:t>.</w:t>
      </w:r>
    </w:p>
    <w:p w14:paraId="4593A1F9" w14:textId="652D285F" w:rsidR="00760F79" w:rsidRDefault="00C43A1E" w:rsidP="00760F79">
      <w:pPr>
        <w:pStyle w:val="BodyTextNumbered"/>
      </w:pPr>
      <w:r>
        <w:t>This map demonstrates three proposed routes serving the town centre, from the western extents of the town, as shown in green (riverside route), light blue (industrial</w:t>
      </w:r>
      <w:r w:rsidR="00CA51D2">
        <w:t xml:space="preserve"> </w:t>
      </w:r>
      <w:r>
        <w:t>/</w:t>
      </w:r>
      <w:r w:rsidR="00CA51D2">
        <w:t xml:space="preserve"> </w:t>
      </w:r>
      <w:r>
        <w:t>retail route) and indigo (Vauxhall / school route).</w:t>
      </w:r>
    </w:p>
    <w:p w14:paraId="560D6228" w14:textId="3889847B" w:rsidR="00C43A1E" w:rsidRDefault="00C43A1E" w:rsidP="00DE32BD">
      <w:pPr>
        <w:pStyle w:val="Caption"/>
      </w:pPr>
      <w:bookmarkStart w:id="2" w:name="_Ref132956575"/>
      <w:r>
        <w:lastRenderedPageBreak/>
        <w:t xml:space="preserve">Figure </w:t>
      </w:r>
      <w:r>
        <w:rPr>
          <w:noProof/>
        </w:rPr>
        <w:fldChar w:fldCharType="begin"/>
      </w:r>
      <w:r>
        <w:rPr>
          <w:noProof/>
        </w:rPr>
        <w:instrText xml:space="preserve"> STYLEREF 1 \s </w:instrText>
      </w:r>
      <w:r>
        <w:rPr>
          <w:noProof/>
        </w:rPr>
        <w:fldChar w:fldCharType="separate"/>
      </w:r>
      <w:r w:rsidR="0099381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99381E">
        <w:rPr>
          <w:noProof/>
        </w:rPr>
        <w:t>2</w:t>
      </w:r>
      <w:r>
        <w:rPr>
          <w:noProof/>
        </w:rPr>
        <w:fldChar w:fldCharType="end"/>
      </w:r>
      <w:bookmarkEnd w:id="2"/>
      <w:r>
        <w:tab/>
        <w:t xml:space="preserve">Tonbridge and </w:t>
      </w:r>
      <w:proofErr w:type="spellStart"/>
      <w:r>
        <w:t>Malling</w:t>
      </w:r>
      <w:proofErr w:type="spellEnd"/>
      <w:r>
        <w:t xml:space="preserve"> Active Travel Strategy: Proposed Routes</w:t>
      </w:r>
    </w:p>
    <w:p w14:paraId="5A7B749E" w14:textId="77777777" w:rsidR="00C43A1E" w:rsidRDefault="00C43A1E" w:rsidP="00DE32BD">
      <w:pPr>
        <w:pStyle w:val="Indent"/>
      </w:pPr>
      <w:r>
        <w:rPr>
          <w:noProof/>
        </w:rPr>
        <w:drawing>
          <wp:inline distT="0" distB="0" distL="0" distR="0" wp14:anchorId="2052E530" wp14:editId="512D7BEC">
            <wp:extent cx="5203587" cy="4284345"/>
            <wp:effectExtent l="0" t="0" r="0" b="1905"/>
            <wp:docPr id="857716470" name="Picture 85771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16470" name="Picture 857716470"/>
                    <pic:cNvPicPr/>
                  </pic:nvPicPr>
                  <pic:blipFill rotWithShape="1">
                    <a:blip r:embed="rId12">
                      <a:extLst>
                        <a:ext uri="{28A0092B-C50C-407E-A947-70E740481C1C}">
                          <a14:useLocalDpi xmlns:a14="http://schemas.microsoft.com/office/drawing/2010/main" val="0"/>
                        </a:ext>
                      </a:extLst>
                    </a:blip>
                    <a:srcRect l="610"/>
                    <a:stretch/>
                  </pic:blipFill>
                  <pic:spPr bwMode="auto">
                    <a:xfrm>
                      <a:off x="0" y="0"/>
                      <a:ext cx="5220700" cy="4298435"/>
                    </a:xfrm>
                    <a:prstGeom prst="rect">
                      <a:avLst/>
                    </a:prstGeom>
                    <a:ln>
                      <a:noFill/>
                    </a:ln>
                    <a:extLst>
                      <a:ext uri="{53640926-AAD7-44D8-BBD7-CCE9431645EC}">
                        <a14:shadowObscured xmlns:a14="http://schemas.microsoft.com/office/drawing/2010/main"/>
                      </a:ext>
                    </a:extLst>
                  </pic:spPr>
                </pic:pic>
              </a:graphicData>
            </a:graphic>
          </wp:inline>
        </w:drawing>
      </w:r>
    </w:p>
    <w:p w14:paraId="4D35B44E" w14:textId="082CD245" w:rsidR="00C43A1E" w:rsidRDefault="00C43A1E" w:rsidP="00DE32BD">
      <w:pPr>
        <w:pStyle w:val="FigureSource"/>
      </w:pPr>
      <w:r w:rsidRPr="00A65225">
        <w:t xml:space="preserve">Source: </w:t>
      </w:r>
      <w:r>
        <w:t xml:space="preserve">Tonbridge and </w:t>
      </w:r>
      <w:proofErr w:type="spellStart"/>
      <w:r>
        <w:t>Malling</w:t>
      </w:r>
      <w:proofErr w:type="spellEnd"/>
      <w:r>
        <w:t xml:space="preserve"> Borough Council</w:t>
      </w:r>
    </w:p>
    <w:p w14:paraId="12F11BE5" w14:textId="6D655183" w:rsidR="00C43A1E" w:rsidRDefault="00DD189D" w:rsidP="00760F79">
      <w:pPr>
        <w:pStyle w:val="BodyTextNumbered"/>
      </w:pPr>
      <w:r>
        <w:t>T</w:t>
      </w:r>
      <w:r w:rsidR="00C67A6F">
        <w:t xml:space="preserve">he green route connects with the proposed end point of route D from the TWBC LCWIP and provides </w:t>
      </w:r>
      <w:r>
        <w:t xml:space="preserve">the important </w:t>
      </w:r>
      <w:r w:rsidR="00C67A6F">
        <w:t xml:space="preserve">continuation of the </w:t>
      </w:r>
      <w:r w:rsidR="00F45879">
        <w:t>TGV</w:t>
      </w:r>
      <w:r w:rsidR="00C67A6F">
        <w:t xml:space="preserve"> cycle route into Tonbridge town centre. In addition, the </w:t>
      </w:r>
      <w:r w:rsidR="00B71A20">
        <w:t>indigo-coloured</w:t>
      </w:r>
      <w:r w:rsidR="00C67A6F">
        <w:t xml:space="preserve"> route connects with the Weald of Kent Grammar School, which is situated on Tudeley Lane and intersects with the proposed bus/cycle only route.</w:t>
      </w:r>
    </w:p>
    <w:p w14:paraId="0FA20157" w14:textId="0ECFDB3F" w:rsidR="00C67A6F" w:rsidRDefault="00C67A6F" w:rsidP="00760F79">
      <w:pPr>
        <w:pStyle w:val="BodyTextNumbered"/>
      </w:pPr>
      <w:r>
        <w:t>Finally, there are multiple options for a</w:t>
      </w:r>
      <w:r w:rsidR="0069422E">
        <w:t xml:space="preserve"> further</w:t>
      </w:r>
      <w:r>
        <w:t xml:space="preserve"> cycle route from </w:t>
      </w:r>
      <w:r w:rsidR="00F45879">
        <w:t>TGV</w:t>
      </w:r>
      <w:r>
        <w:t xml:space="preserve"> to connect </w:t>
      </w:r>
      <w:r w:rsidR="0069422E">
        <w:t xml:space="preserve">directly </w:t>
      </w:r>
      <w:r>
        <w:t>with the light blue route along the A26, given the Hadlow Estates land holdings border the A26 and connect with the propos</w:t>
      </w:r>
      <w:r w:rsidR="00F45879">
        <w:t xml:space="preserve">al. </w:t>
      </w:r>
    </w:p>
    <w:p w14:paraId="063F991D" w14:textId="5313CF97" w:rsidR="00C67A6F" w:rsidRDefault="00F45879" w:rsidP="00C67A6F">
      <w:pPr>
        <w:pStyle w:val="BodyTextNumbered"/>
      </w:pPr>
      <w:r>
        <w:t>TGV</w:t>
      </w:r>
      <w:r w:rsidR="00C67A6F">
        <w:t xml:space="preserve"> is therefore not reliant on one route to enable</w:t>
      </w:r>
      <w:r w:rsidR="0069422E">
        <w:t xml:space="preserve"> the creation of excellent</w:t>
      </w:r>
      <w:r w:rsidR="00C67A6F">
        <w:t xml:space="preserve"> cycle connections with Tonbridge. The</w:t>
      </w:r>
      <w:r w:rsidR="0069422E">
        <w:t xml:space="preserve">re </w:t>
      </w:r>
      <w:r>
        <w:t>are</w:t>
      </w:r>
      <w:r w:rsidR="0069422E">
        <w:t xml:space="preserve"> a </w:t>
      </w:r>
      <w:r w:rsidR="00C67A6F">
        <w:t xml:space="preserve">variety of options </w:t>
      </w:r>
      <w:r w:rsidR="0069422E">
        <w:t xml:space="preserve">to provide routes that will </w:t>
      </w:r>
      <w:r w:rsidR="00C67A6F">
        <w:t>cater for all abilities of cyclist</w:t>
      </w:r>
      <w:r w:rsidR="00F72B9D">
        <w:t>,</w:t>
      </w:r>
      <w:r w:rsidR="00C67A6F">
        <w:t xml:space="preserve"> </w:t>
      </w:r>
      <w:r w:rsidR="00DB6CBB">
        <w:t xml:space="preserve">providing </w:t>
      </w:r>
      <w:r w:rsidR="00C67A6F">
        <w:t>the ability to cycle in all weather</w:t>
      </w:r>
      <w:r w:rsidR="00BA02C4">
        <w:t>, lighting</w:t>
      </w:r>
      <w:r w:rsidR="00C67A6F">
        <w:t xml:space="preserve"> conditions and time periods. Th</w:t>
      </w:r>
      <w:r w:rsidR="0069422E">
        <w:t>ese options</w:t>
      </w:r>
      <w:r w:rsidR="00C67A6F">
        <w:t>, along with the bus service</w:t>
      </w:r>
      <w:r w:rsidR="0069422E">
        <w:t xml:space="preserve"> (dealt with </w:t>
      </w:r>
      <w:r w:rsidR="002758B5">
        <w:t>above</w:t>
      </w:r>
      <w:r w:rsidR="0069422E">
        <w:t>)</w:t>
      </w:r>
      <w:r w:rsidR="0069422E" w:rsidRPr="00C22EC0">
        <w:t>,</w:t>
      </w:r>
      <w:r w:rsidR="0069422E">
        <w:t xml:space="preserve"> will provide</w:t>
      </w:r>
      <w:r w:rsidR="00C67A6F">
        <w:t xml:space="preserve"> a genuine alternative to car travel and </w:t>
      </w:r>
      <w:r w:rsidR="0069422E">
        <w:t xml:space="preserve">confirms </w:t>
      </w:r>
      <w:r w:rsidR="00C67A6F">
        <w:t xml:space="preserve">the sustainable location of the </w:t>
      </w:r>
      <w:r>
        <w:t>proposed</w:t>
      </w:r>
      <w:r w:rsidR="00C67A6F">
        <w:t xml:space="preserve"> site.</w:t>
      </w:r>
    </w:p>
    <w:p w14:paraId="5AD98D39" w14:textId="2A4543C9" w:rsidR="00C67A6F" w:rsidRDefault="00A225E5" w:rsidP="00C67A6F">
      <w:pPr>
        <w:pStyle w:val="BodyTextNumbered"/>
      </w:pPr>
      <w:r>
        <w:t xml:space="preserve">The developer will </w:t>
      </w:r>
      <w:r w:rsidR="00C67A6F">
        <w:t>work closely with</w:t>
      </w:r>
      <w:r>
        <w:t xml:space="preserve"> KCC and </w:t>
      </w:r>
      <w:r w:rsidR="00C67A6F">
        <w:t xml:space="preserve">TMBC </w:t>
      </w:r>
      <w:r w:rsidR="0069422E">
        <w:t xml:space="preserve">for the </w:t>
      </w:r>
      <w:r w:rsidR="002758B5">
        <w:t>development of</w:t>
      </w:r>
      <w:r w:rsidR="0069422E">
        <w:t xml:space="preserve"> </w:t>
      </w:r>
      <w:r w:rsidR="0069422E" w:rsidRPr="00C22EC0">
        <w:t xml:space="preserve">these </w:t>
      </w:r>
      <w:r w:rsidR="00C67A6F">
        <w:t>proposals further ahead of future planning application submissions</w:t>
      </w:r>
      <w:r w:rsidR="00B71A20">
        <w:t>, to ensure that multiple high-quality routes are delivered in line with LTN</w:t>
      </w:r>
      <w:r w:rsidR="00CA51D2">
        <w:t xml:space="preserve"> </w:t>
      </w:r>
      <w:r w:rsidR="00B71A20">
        <w:t>1/20.</w:t>
      </w:r>
    </w:p>
    <w:p w14:paraId="4FBE64FD" w14:textId="06453485" w:rsidR="00A225E5" w:rsidRDefault="00A225E5" w:rsidP="00CA51D2">
      <w:pPr>
        <w:pStyle w:val="Heading3"/>
      </w:pPr>
      <w:r>
        <w:lastRenderedPageBreak/>
        <w:t xml:space="preserve">Potential for </w:t>
      </w:r>
      <w:r w:rsidR="00CA51D2">
        <w:t>C</w:t>
      </w:r>
      <w:r>
        <w:t xml:space="preserve">ycling </w:t>
      </w:r>
      <w:r w:rsidR="00CA51D2">
        <w:t>M</w:t>
      </w:r>
      <w:r>
        <w:t xml:space="preserve">ode </w:t>
      </w:r>
      <w:r w:rsidR="00CA51D2">
        <w:t>S</w:t>
      </w:r>
      <w:r>
        <w:t>hift</w:t>
      </w:r>
    </w:p>
    <w:p w14:paraId="76F8459A" w14:textId="26C966C1" w:rsidR="00B71A20" w:rsidRDefault="00B71A20" w:rsidP="00B71A20">
      <w:pPr>
        <w:pStyle w:val="BodyTextNumbered"/>
      </w:pPr>
      <w:r>
        <w:t xml:space="preserve">The potential modal shift that could be achieved from cycling </w:t>
      </w:r>
      <w:r w:rsidR="0069422E">
        <w:t xml:space="preserve">through the provision of these cycling routes </w:t>
      </w:r>
      <w:r>
        <w:t>is significant. The Department for Transport’s ‘Propensity to Cycle Tool’, promoted by the department to develop their LCWIP strategies, shows the potential future mode share</w:t>
      </w:r>
      <w:r w:rsidR="00BB73F2">
        <w:t xml:space="preserve"> - see</w:t>
      </w:r>
      <w:r w:rsidR="00CA51D2">
        <w:t xml:space="preserve">  </w:t>
      </w:r>
      <w:r w:rsidR="00CA51D2" w:rsidRPr="00BA4221">
        <w:rPr>
          <w:rStyle w:val="CrossRef"/>
        </w:rPr>
        <w:fldChar w:fldCharType="begin"/>
      </w:r>
      <w:r w:rsidR="00CA51D2" w:rsidRPr="00BA4221">
        <w:rPr>
          <w:rStyle w:val="CrossRef"/>
        </w:rPr>
        <w:instrText xml:space="preserve"> REF _Ref132978490 \h \* CHARFORMAT </w:instrText>
      </w:r>
      <w:r w:rsidR="00CA51D2" w:rsidRPr="00BA4221">
        <w:rPr>
          <w:rStyle w:val="CrossRef"/>
        </w:rPr>
      </w:r>
      <w:r w:rsidR="00CA51D2" w:rsidRPr="00BA4221">
        <w:rPr>
          <w:rStyle w:val="CrossRef"/>
        </w:rPr>
        <w:fldChar w:fldCharType="separate"/>
      </w:r>
      <w:r w:rsidR="0099381E" w:rsidRPr="00BA4221">
        <w:rPr>
          <w:rStyle w:val="CrossRef"/>
        </w:rPr>
        <w:t>Figure 3.3</w:t>
      </w:r>
      <w:r w:rsidR="00CA51D2" w:rsidRPr="00BA4221">
        <w:rPr>
          <w:rStyle w:val="CrossRef"/>
        </w:rPr>
        <w:fldChar w:fldCharType="end"/>
      </w:r>
      <w:r w:rsidR="004C0524">
        <w:rPr>
          <w:rStyle w:val="CrossRef"/>
        </w:rPr>
        <w:t xml:space="preserve"> </w:t>
      </w:r>
      <w:r w:rsidR="004C0524" w:rsidRPr="00B068D2">
        <w:rPr>
          <w:rStyle w:val="CrossRef"/>
          <w:b w:val="0"/>
          <w:bCs/>
        </w:rPr>
        <w:t>below</w:t>
      </w:r>
      <w:r w:rsidR="00CA51D2" w:rsidRPr="00B068D2">
        <w:rPr>
          <w:b/>
          <w:bCs/>
        </w:rPr>
        <w:t>.</w:t>
      </w:r>
    </w:p>
    <w:p w14:paraId="7DED1DF9" w14:textId="479C67EA" w:rsidR="003E0BEA" w:rsidRDefault="003E0BEA" w:rsidP="00DE32BD">
      <w:pPr>
        <w:pStyle w:val="Caption"/>
      </w:pPr>
      <w:bookmarkStart w:id="3" w:name="_Ref132978490"/>
      <w:r>
        <w:t xml:space="preserve">Figure </w:t>
      </w:r>
      <w:r>
        <w:rPr>
          <w:noProof/>
        </w:rPr>
        <w:fldChar w:fldCharType="begin"/>
      </w:r>
      <w:r>
        <w:rPr>
          <w:noProof/>
        </w:rPr>
        <w:instrText xml:space="preserve"> STYLEREF 1 \s </w:instrText>
      </w:r>
      <w:r>
        <w:rPr>
          <w:noProof/>
        </w:rPr>
        <w:fldChar w:fldCharType="separate"/>
      </w:r>
      <w:r w:rsidR="0099381E">
        <w:rPr>
          <w:noProof/>
        </w:rPr>
        <w:t>3</w:t>
      </w:r>
      <w:r>
        <w:rPr>
          <w:noProof/>
        </w:rPr>
        <w:fldChar w:fldCharType="end"/>
      </w:r>
      <w:r>
        <w:t>.</w:t>
      </w:r>
      <w:r>
        <w:rPr>
          <w:noProof/>
        </w:rPr>
        <w:fldChar w:fldCharType="begin"/>
      </w:r>
      <w:r>
        <w:rPr>
          <w:noProof/>
        </w:rPr>
        <w:instrText xml:space="preserve"> SEQ Figure \* ARABIC \s 1 </w:instrText>
      </w:r>
      <w:r>
        <w:rPr>
          <w:noProof/>
        </w:rPr>
        <w:fldChar w:fldCharType="separate"/>
      </w:r>
      <w:r w:rsidR="0099381E">
        <w:rPr>
          <w:noProof/>
        </w:rPr>
        <w:t>3</w:t>
      </w:r>
      <w:r>
        <w:rPr>
          <w:noProof/>
        </w:rPr>
        <w:fldChar w:fldCharType="end"/>
      </w:r>
      <w:bookmarkEnd w:id="3"/>
      <w:r>
        <w:tab/>
        <w:t>Propensity to Cycle Tool: Existing and Future Scenario</w:t>
      </w:r>
    </w:p>
    <w:p w14:paraId="0CA3C5CF" w14:textId="77777777" w:rsidR="003E0BEA" w:rsidRDefault="003E0BEA" w:rsidP="00DE32BD">
      <w:pPr>
        <w:pStyle w:val="Indent"/>
      </w:pPr>
      <w:r>
        <w:rPr>
          <w:noProof/>
        </w:rPr>
        <w:drawing>
          <wp:inline distT="0" distB="0" distL="0" distR="0" wp14:anchorId="45655A48" wp14:editId="3889AC56">
            <wp:extent cx="5449136" cy="2898476"/>
            <wp:effectExtent l="0" t="0" r="0" b="0"/>
            <wp:docPr id="118181102" name="Picture 11818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1102" name="Picture 118181102"/>
                    <pic:cNvPicPr/>
                  </pic:nvPicPr>
                  <pic:blipFill>
                    <a:blip r:embed="rId13">
                      <a:extLst>
                        <a:ext uri="{28A0092B-C50C-407E-A947-70E740481C1C}">
                          <a14:useLocalDpi xmlns:a14="http://schemas.microsoft.com/office/drawing/2010/main" val="0"/>
                        </a:ext>
                      </a:extLst>
                    </a:blip>
                    <a:stretch>
                      <a:fillRect/>
                    </a:stretch>
                  </pic:blipFill>
                  <pic:spPr>
                    <a:xfrm>
                      <a:off x="0" y="0"/>
                      <a:ext cx="5455722" cy="2901979"/>
                    </a:xfrm>
                    <a:prstGeom prst="rect">
                      <a:avLst/>
                    </a:prstGeom>
                  </pic:spPr>
                </pic:pic>
              </a:graphicData>
            </a:graphic>
          </wp:inline>
        </w:drawing>
      </w:r>
    </w:p>
    <w:p w14:paraId="01E83C7E" w14:textId="428DB2A2" w:rsidR="003E0BEA" w:rsidRDefault="003E0BEA" w:rsidP="003E0BEA">
      <w:pPr>
        <w:pStyle w:val="FigureSource"/>
      </w:pPr>
      <w:r>
        <w:rPr>
          <w:noProof/>
        </w:rPr>
        <w:drawing>
          <wp:inline distT="0" distB="0" distL="0" distR="0" wp14:anchorId="3F1A1968" wp14:editId="147D62A2">
            <wp:extent cx="5458940" cy="2855343"/>
            <wp:effectExtent l="0" t="0" r="8890" b="2540"/>
            <wp:docPr id="108400406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04066" name="Picture 1" descr="Diagram&#10;&#10;Description automatically generated"/>
                    <pic:cNvPicPr/>
                  </pic:nvPicPr>
                  <pic:blipFill>
                    <a:blip r:embed="rId14"/>
                    <a:stretch>
                      <a:fillRect/>
                    </a:stretch>
                  </pic:blipFill>
                  <pic:spPr>
                    <a:xfrm>
                      <a:off x="0" y="0"/>
                      <a:ext cx="5473741" cy="2863085"/>
                    </a:xfrm>
                    <a:prstGeom prst="rect">
                      <a:avLst/>
                    </a:prstGeom>
                  </pic:spPr>
                </pic:pic>
              </a:graphicData>
            </a:graphic>
          </wp:inline>
        </w:drawing>
      </w:r>
      <w:r w:rsidRPr="00A65225">
        <w:t xml:space="preserve">Source: </w:t>
      </w:r>
      <w:r w:rsidR="00CA51D2">
        <w:t>Propensity to Cycle Tool</w:t>
      </w:r>
    </w:p>
    <w:p w14:paraId="6443A5CB" w14:textId="2A309D90" w:rsidR="002758B5" w:rsidRDefault="003E0BEA" w:rsidP="00B068D2">
      <w:pPr>
        <w:pStyle w:val="BodyTextNumbered"/>
      </w:pPr>
      <w:r>
        <w:t xml:space="preserve">This tool identifies </w:t>
      </w:r>
      <w:r w:rsidR="00A225E5">
        <w:t xml:space="preserve">that </w:t>
      </w:r>
      <w:r w:rsidR="00F45879">
        <w:t>TGV</w:t>
      </w:r>
      <w:r>
        <w:t xml:space="preserve"> has the potential to grow its cycling mode share from its current level of 1% up to a po</w:t>
      </w:r>
      <w:r w:rsidR="0069422E">
        <w:t>tential</w:t>
      </w:r>
      <w:r>
        <w:t xml:space="preserve"> 19%, </w:t>
      </w:r>
      <w:r w:rsidR="0069422E">
        <w:t xml:space="preserve">given wide adoption of </w:t>
      </w:r>
      <w:r>
        <w:t>e-bikes and</w:t>
      </w:r>
      <w:r w:rsidR="0069422E">
        <w:t xml:space="preserve"> assuming </w:t>
      </w:r>
      <w:r>
        <w:t xml:space="preserve"> good cycle infrastructure is embedded</w:t>
      </w:r>
      <w:r w:rsidR="0069422E">
        <w:t xml:space="preserve"> as proposed.</w:t>
      </w:r>
      <w:r>
        <w:t xml:space="preserve"> </w:t>
      </w:r>
      <w:r w:rsidR="00F45879">
        <w:t>TGV</w:t>
      </w:r>
      <w:r w:rsidR="002E5739">
        <w:t xml:space="preserve"> will aspire to this target through the design of its masterplan in such a way that incentivises active travel over car </w:t>
      </w:r>
      <w:r w:rsidR="00CA51D2">
        <w:t xml:space="preserve">use </w:t>
      </w:r>
      <w:r w:rsidR="00F45879">
        <w:t xml:space="preserve">as well as </w:t>
      </w:r>
      <w:r w:rsidR="002E5739">
        <w:t>contribut</w:t>
      </w:r>
      <w:r w:rsidR="00F45879">
        <w:t>ing</w:t>
      </w:r>
      <w:r w:rsidR="002E5739">
        <w:t xml:space="preserve"> </w:t>
      </w:r>
      <w:r w:rsidR="002E5739">
        <w:lastRenderedPageBreak/>
        <w:t xml:space="preserve">to improvements outside of its red line to enable the delivery of exemplary whole cycle routes, working with TMBC and TWBC closely. </w:t>
      </w:r>
    </w:p>
    <w:p w14:paraId="7D764F6F" w14:textId="31F225FF" w:rsidR="00E46A6B" w:rsidRDefault="00E46A6B" w:rsidP="002758B5">
      <w:pPr>
        <w:pStyle w:val="Heading1"/>
      </w:pPr>
      <w:r>
        <w:t xml:space="preserve">Trip </w:t>
      </w:r>
      <w:r w:rsidRPr="002758B5">
        <w:t>Internalisation</w:t>
      </w:r>
      <w:r w:rsidR="009A6050">
        <w:t xml:space="preserve">, </w:t>
      </w:r>
      <w:r>
        <w:t>Modal Shift</w:t>
      </w:r>
      <w:r w:rsidR="009A6050">
        <w:t xml:space="preserve"> and Severity </w:t>
      </w:r>
      <w:r w:rsidR="00B10B27">
        <w:t>of Traffic Impacts</w:t>
      </w:r>
    </w:p>
    <w:p w14:paraId="084DEFFE" w14:textId="512E24EF" w:rsidR="0054489E" w:rsidRPr="0054489E" w:rsidRDefault="000D107B" w:rsidP="00CA51D2">
      <w:pPr>
        <w:pStyle w:val="Heading3"/>
      </w:pPr>
      <w:r>
        <w:t>Internalisation Factors</w:t>
      </w:r>
    </w:p>
    <w:p w14:paraId="3A789B68" w14:textId="684A8CAC" w:rsidR="003A332A" w:rsidRDefault="00E46A6B" w:rsidP="00E46A6B">
      <w:pPr>
        <w:pStyle w:val="BodyTextNumbered"/>
      </w:pPr>
      <w:r>
        <w:t>Within the Inspector’s initial findings, concern is raised regarding the level of trip internalisation and modal shift achievable at the site, based on current evidence</w:t>
      </w:r>
      <w:r w:rsidR="003A332A">
        <w:t xml:space="preserve"> and in turn, the implications of this for highway capacity within Tonbridge </w:t>
      </w:r>
      <w:r w:rsidR="00747A72">
        <w:t>town centre</w:t>
      </w:r>
      <w:r w:rsidR="00EC35A6">
        <w:t>.</w:t>
      </w:r>
      <w:r w:rsidR="003A332A">
        <w:t xml:space="preserve"> </w:t>
      </w:r>
      <w:r w:rsidR="00EC35A6">
        <w:t>T</w:t>
      </w:r>
      <w:r w:rsidR="003A332A">
        <w:t xml:space="preserve">he Inspector’s initial findings </w:t>
      </w:r>
      <w:r w:rsidR="002D2EF6">
        <w:t>stat</w:t>
      </w:r>
      <w:r w:rsidR="00EC35A6">
        <w:t>e</w:t>
      </w:r>
      <w:r w:rsidR="003A332A">
        <w:t>:-</w:t>
      </w:r>
    </w:p>
    <w:p w14:paraId="5943E541" w14:textId="710E2022" w:rsidR="003A332A" w:rsidRPr="00CA51D2" w:rsidRDefault="003A332A" w:rsidP="00CA51D2">
      <w:pPr>
        <w:pStyle w:val="FactBoxText"/>
        <w:rPr>
          <w:i/>
          <w:iCs/>
        </w:rPr>
      </w:pPr>
      <w:r w:rsidRPr="00CA51D2">
        <w:rPr>
          <w:i/>
          <w:iCs/>
        </w:rPr>
        <w:t xml:space="preserve">‘Given the existing constraints and congestion in Tonbridge town centre, the cumulative impacts of the scale and location of the </w:t>
      </w:r>
      <w:r w:rsidR="00EC35A6" w:rsidRPr="00EC35A6">
        <w:rPr>
          <w:i/>
          <w:iCs/>
        </w:rPr>
        <w:t>development</w:t>
      </w:r>
      <w:r w:rsidRPr="00CA51D2">
        <w:rPr>
          <w:i/>
          <w:iCs/>
        </w:rPr>
        <w:t xml:space="preserve"> would be severe’.</w:t>
      </w:r>
    </w:p>
    <w:p w14:paraId="24547E7A" w14:textId="7DA409AD" w:rsidR="00F37AAE" w:rsidRDefault="00E46A6B" w:rsidP="008C0C65">
      <w:pPr>
        <w:pStyle w:val="BodyTextNumbered"/>
      </w:pPr>
      <w:r>
        <w:t>As part of the Local Plan evidence base,</w:t>
      </w:r>
      <w:r w:rsidR="00DB0A55">
        <w:t xml:space="preserve"> detailed assessments from</w:t>
      </w:r>
      <w:r>
        <w:t xml:space="preserve"> both Stantec</w:t>
      </w:r>
      <w:r w:rsidR="00DB0A55">
        <w:rPr>
          <w:rStyle w:val="FootnoteReference"/>
        </w:rPr>
        <w:footnoteReference w:id="9"/>
      </w:r>
      <w:r>
        <w:t xml:space="preserve"> and WSP</w:t>
      </w:r>
      <w:r w:rsidR="00DB0A55">
        <w:rPr>
          <w:rStyle w:val="FootnoteReference"/>
        </w:rPr>
        <w:footnoteReference w:id="10"/>
      </w:r>
      <w:r>
        <w:t xml:space="preserve"> have considered the potential </w:t>
      </w:r>
      <w:r w:rsidR="00E353D4">
        <w:t>effects</w:t>
      </w:r>
      <w:r>
        <w:t xml:space="preserve"> of internalisation at </w:t>
      </w:r>
      <w:r w:rsidR="00A03D12">
        <w:t>TGV</w:t>
      </w:r>
      <w:r w:rsidR="00747A72">
        <w:t xml:space="preserve">. </w:t>
      </w:r>
      <w:r w:rsidR="007E539A" w:rsidRPr="00BA4221">
        <w:rPr>
          <w:rStyle w:val="CrossRef"/>
        </w:rPr>
        <w:fldChar w:fldCharType="begin"/>
      </w:r>
      <w:r w:rsidR="007E539A" w:rsidRPr="00BA4221">
        <w:rPr>
          <w:rStyle w:val="CrossRef"/>
        </w:rPr>
        <w:instrText xml:space="preserve"> REF _Ref132705227 \h \* CHARFORMAT </w:instrText>
      </w:r>
      <w:r w:rsidR="007E539A" w:rsidRPr="00BA4221">
        <w:rPr>
          <w:rStyle w:val="CrossRef"/>
        </w:rPr>
      </w:r>
      <w:r w:rsidR="007E539A" w:rsidRPr="00BA4221">
        <w:rPr>
          <w:rStyle w:val="CrossRef"/>
        </w:rPr>
        <w:fldChar w:fldCharType="separate"/>
      </w:r>
      <w:r w:rsidR="0099381E" w:rsidRPr="00BA4221">
        <w:rPr>
          <w:rStyle w:val="CrossRef"/>
        </w:rPr>
        <w:t>Table 4.1</w:t>
      </w:r>
      <w:r w:rsidR="007E539A" w:rsidRPr="00BA4221">
        <w:rPr>
          <w:rStyle w:val="CrossRef"/>
        </w:rPr>
        <w:fldChar w:fldCharType="end"/>
      </w:r>
      <w:r w:rsidR="00DB0A55">
        <w:t xml:space="preserve"> below summarises the two approaches and the associated internalisation </w:t>
      </w:r>
      <w:r w:rsidR="00F37AAE">
        <w:t>factors derived based on journey purpose.</w:t>
      </w:r>
    </w:p>
    <w:p w14:paraId="4A1F4247" w14:textId="7AB0EB11" w:rsidR="00F37AAE" w:rsidRDefault="00F37AAE" w:rsidP="00DE32BD">
      <w:pPr>
        <w:pStyle w:val="Caption"/>
      </w:pPr>
      <w:bookmarkStart w:id="4" w:name="_Ref132705227"/>
      <w:r>
        <w:lastRenderedPageBreak/>
        <w:t xml:space="preserve">Table </w:t>
      </w:r>
      <w:r>
        <w:rPr>
          <w:noProof/>
        </w:rPr>
        <w:fldChar w:fldCharType="begin"/>
      </w:r>
      <w:r>
        <w:rPr>
          <w:noProof/>
        </w:rPr>
        <w:instrText xml:space="preserve"> STYLEREF 1 \s </w:instrText>
      </w:r>
      <w:r>
        <w:rPr>
          <w:noProof/>
        </w:rPr>
        <w:fldChar w:fldCharType="separate"/>
      </w:r>
      <w:r w:rsidR="0099381E">
        <w:rPr>
          <w:noProof/>
        </w:rPr>
        <w:t>4</w:t>
      </w:r>
      <w:r>
        <w:rPr>
          <w:noProof/>
        </w:rPr>
        <w:fldChar w:fldCharType="end"/>
      </w:r>
      <w:r>
        <w:t>.</w:t>
      </w:r>
      <w:r>
        <w:rPr>
          <w:noProof/>
        </w:rPr>
        <w:fldChar w:fldCharType="begin"/>
      </w:r>
      <w:r>
        <w:rPr>
          <w:noProof/>
        </w:rPr>
        <w:instrText xml:space="preserve"> SEQ Table \* ARABIC \s 1 </w:instrText>
      </w:r>
      <w:r>
        <w:rPr>
          <w:noProof/>
        </w:rPr>
        <w:fldChar w:fldCharType="separate"/>
      </w:r>
      <w:r w:rsidR="0099381E">
        <w:rPr>
          <w:noProof/>
        </w:rPr>
        <w:t>1</w:t>
      </w:r>
      <w:r>
        <w:rPr>
          <w:noProof/>
        </w:rPr>
        <w:fldChar w:fldCharType="end"/>
      </w:r>
      <w:bookmarkEnd w:id="4"/>
      <w:r>
        <w:tab/>
        <w:t>Trip Internalisation Summary</w:t>
      </w:r>
    </w:p>
    <w:tbl>
      <w:tblPr>
        <w:tblStyle w:val="MKTable1"/>
        <w:tblW w:w="8216" w:type="dxa"/>
        <w:tblLook w:val="06A0" w:firstRow="1" w:lastRow="0" w:firstColumn="1" w:lastColumn="0" w:noHBand="1" w:noVBand="1"/>
      </w:tblPr>
      <w:tblGrid>
        <w:gridCol w:w="1647"/>
        <w:gridCol w:w="1807"/>
        <w:gridCol w:w="4762"/>
      </w:tblGrid>
      <w:tr w:rsidR="00F37AAE" w:rsidRPr="00F37AAE" w14:paraId="6BE87487" w14:textId="77777777" w:rsidTr="00CA51D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Pr>
          <w:p w14:paraId="2C3E8A5E" w14:textId="07517EEA" w:rsidR="00F37AAE" w:rsidRPr="00F37AAE" w:rsidRDefault="00F37AAE" w:rsidP="00DE32BD">
            <w:pPr>
              <w:pStyle w:val="TableText"/>
              <w:keepNext/>
              <w:keepLines/>
              <w:widowControl w:val="0"/>
              <w:rPr>
                <w:sz w:val="20"/>
                <w:szCs w:val="20"/>
              </w:rPr>
            </w:pPr>
            <w:r w:rsidRPr="00F37AAE">
              <w:rPr>
                <w:sz w:val="20"/>
                <w:szCs w:val="20"/>
              </w:rPr>
              <w:t>Journey Purpose</w:t>
            </w:r>
          </w:p>
        </w:tc>
        <w:tc>
          <w:tcPr>
            <w:tcW w:w="0" w:type="dxa"/>
          </w:tcPr>
          <w:p w14:paraId="764EF330" w14:textId="31DFE2DC" w:rsidR="00F37AAE" w:rsidRPr="00F37AAE" w:rsidRDefault="00F37AAE" w:rsidP="00DE32BD">
            <w:pPr>
              <w:pStyle w:val="TableText"/>
              <w:keepNext/>
              <w:keepLines/>
              <w:widowControl w:val="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Stantec </w:t>
            </w:r>
          </w:p>
        </w:tc>
        <w:tc>
          <w:tcPr>
            <w:tcW w:w="3685" w:type="dxa"/>
          </w:tcPr>
          <w:p w14:paraId="4DD47DBC" w14:textId="2F929590" w:rsidR="00F37AAE" w:rsidRPr="00F37AAE" w:rsidRDefault="00F37AAE" w:rsidP="00DE32BD">
            <w:pPr>
              <w:pStyle w:val="TableText"/>
              <w:keepNext/>
              <w:keepLines/>
              <w:widowControl w:val="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WSP</w:t>
            </w:r>
          </w:p>
        </w:tc>
      </w:tr>
      <w:tr w:rsidR="00F37AAE" w:rsidRPr="00F37AAE" w14:paraId="3577859F" w14:textId="77777777" w:rsidTr="00CA51D2">
        <w:trPr>
          <w:trHeight w:val="370"/>
        </w:trPr>
        <w:tc>
          <w:tcPr>
            <w:cnfStyle w:val="001000000000" w:firstRow="0" w:lastRow="0" w:firstColumn="1" w:lastColumn="0" w:oddVBand="0" w:evenVBand="0" w:oddHBand="0" w:evenHBand="0" w:firstRowFirstColumn="0" w:firstRowLastColumn="0" w:lastRowFirstColumn="0" w:lastRowLastColumn="0"/>
            <w:tcW w:w="0" w:type="dxa"/>
            <w:vAlign w:val="center"/>
          </w:tcPr>
          <w:p w14:paraId="4FCB5A13" w14:textId="3C626B14" w:rsidR="00F37AAE" w:rsidRPr="00F37AAE" w:rsidRDefault="00F37AAE" w:rsidP="007E539A">
            <w:pPr>
              <w:pStyle w:val="TableText"/>
              <w:keepNext/>
              <w:keepLines/>
              <w:widowControl w:val="0"/>
              <w:rPr>
                <w:sz w:val="20"/>
                <w:szCs w:val="20"/>
              </w:rPr>
            </w:pPr>
            <w:r>
              <w:rPr>
                <w:sz w:val="20"/>
                <w:szCs w:val="20"/>
              </w:rPr>
              <w:t>Employment / Commuting</w:t>
            </w:r>
          </w:p>
        </w:tc>
        <w:tc>
          <w:tcPr>
            <w:tcW w:w="0" w:type="dxa"/>
            <w:vAlign w:val="center"/>
          </w:tcPr>
          <w:p w14:paraId="474B6EA2" w14:textId="26B2AA9F" w:rsidR="00F37AAE" w:rsidRPr="00F37AAE" w:rsidRDefault="00F37AAE" w:rsidP="007E539A">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 Internalisation</w:t>
            </w:r>
          </w:p>
        </w:tc>
        <w:tc>
          <w:tcPr>
            <w:tcW w:w="3685" w:type="dxa"/>
            <w:vAlign w:val="center"/>
          </w:tcPr>
          <w:p w14:paraId="33E00DA0" w14:textId="3BD435CD" w:rsidR="00F37AAE" w:rsidRPr="00F37AAE" w:rsidRDefault="00D10C35" w:rsidP="007E539A">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 Internalisation (equating to 3% of all trips)</w:t>
            </w:r>
          </w:p>
        </w:tc>
      </w:tr>
      <w:tr w:rsidR="00D10C35" w:rsidRPr="00F37AAE" w14:paraId="08F7BF43" w14:textId="77777777" w:rsidTr="00CA51D2">
        <w:trPr>
          <w:trHeight w:val="370"/>
        </w:trPr>
        <w:tc>
          <w:tcPr>
            <w:cnfStyle w:val="001000000000" w:firstRow="0" w:lastRow="0" w:firstColumn="1" w:lastColumn="0" w:oddVBand="0" w:evenVBand="0" w:oddHBand="0" w:evenHBand="0" w:firstRowFirstColumn="0" w:firstRowLastColumn="0" w:lastRowFirstColumn="0" w:lastRowLastColumn="0"/>
            <w:tcW w:w="0" w:type="dxa"/>
            <w:vAlign w:val="center"/>
          </w:tcPr>
          <w:p w14:paraId="517AD34F" w14:textId="2F484CC3" w:rsidR="00D10C35" w:rsidRDefault="00D10C35" w:rsidP="007E539A">
            <w:pPr>
              <w:pStyle w:val="TableText"/>
              <w:keepNext/>
              <w:keepLines/>
              <w:widowControl w:val="0"/>
              <w:rPr>
                <w:sz w:val="20"/>
                <w:szCs w:val="20"/>
              </w:rPr>
            </w:pPr>
            <w:r>
              <w:rPr>
                <w:sz w:val="20"/>
                <w:szCs w:val="20"/>
              </w:rPr>
              <w:t>Business</w:t>
            </w:r>
          </w:p>
        </w:tc>
        <w:tc>
          <w:tcPr>
            <w:tcW w:w="0" w:type="dxa"/>
            <w:vAlign w:val="center"/>
          </w:tcPr>
          <w:p w14:paraId="70096A1E" w14:textId="609426B6" w:rsidR="00D10C35" w:rsidRDefault="00D10C35" w:rsidP="007E539A">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3685" w:type="dxa"/>
            <w:vAlign w:val="center"/>
          </w:tcPr>
          <w:p w14:paraId="3438FABC" w14:textId="7CFDB742" w:rsidR="00D10C35" w:rsidRPr="00F37AAE" w:rsidRDefault="00D10C35" w:rsidP="007E539A">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 Internalisation (to allow for home working, equating to 3% of all trips)</w:t>
            </w:r>
          </w:p>
        </w:tc>
      </w:tr>
      <w:tr w:rsidR="00F37AAE" w:rsidRPr="00F37AAE" w14:paraId="19735331" w14:textId="77777777" w:rsidTr="00CA51D2">
        <w:trPr>
          <w:trHeight w:val="370"/>
        </w:trPr>
        <w:tc>
          <w:tcPr>
            <w:cnfStyle w:val="001000000000" w:firstRow="0" w:lastRow="0" w:firstColumn="1" w:lastColumn="0" w:oddVBand="0" w:evenVBand="0" w:oddHBand="0" w:evenHBand="0" w:firstRowFirstColumn="0" w:firstRowLastColumn="0" w:lastRowFirstColumn="0" w:lastRowLastColumn="0"/>
            <w:tcW w:w="0" w:type="dxa"/>
            <w:vAlign w:val="center"/>
          </w:tcPr>
          <w:p w14:paraId="454DFE14" w14:textId="03B594C2" w:rsidR="00F37AAE" w:rsidRPr="00F37AAE" w:rsidRDefault="00F37AAE" w:rsidP="007E539A">
            <w:pPr>
              <w:pStyle w:val="TableText"/>
              <w:keepNext/>
              <w:keepLines/>
              <w:widowControl w:val="0"/>
              <w:rPr>
                <w:sz w:val="20"/>
                <w:szCs w:val="20"/>
              </w:rPr>
            </w:pPr>
            <w:r>
              <w:rPr>
                <w:sz w:val="20"/>
                <w:szCs w:val="20"/>
              </w:rPr>
              <w:t>Education</w:t>
            </w:r>
          </w:p>
        </w:tc>
        <w:tc>
          <w:tcPr>
            <w:tcW w:w="0" w:type="dxa"/>
            <w:vAlign w:val="center"/>
          </w:tcPr>
          <w:p w14:paraId="17C6383C" w14:textId="681887A1" w:rsidR="00F37AAE" w:rsidRDefault="00F37AAE" w:rsidP="007E539A">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sidRPr="00F37AAE">
              <w:rPr>
                <w:b/>
                <w:bCs/>
                <w:sz w:val="20"/>
                <w:szCs w:val="20"/>
              </w:rPr>
              <w:t>Primary School</w:t>
            </w:r>
            <w:r>
              <w:rPr>
                <w:sz w:val="20"/>
                <w:szCs w:val="20"/>
              </w:rPr>
              <w:t xml:space="preserve"> – 80% Internalisation</w:t>
            </w:r>
          </w:p>
          <w:p w14:paraId="5C190C85" w14:textId="10180B53" w:rsidR="00F37AAE" w:rsidRPr="00F37AAE" w:rsidRDefault="00F37AAE" w:rsidP="007E539A">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sidRPr="00F37AAE">
              <w:rPr>
                <w:b/>
                <w:bCs/>
                <w:sz w:val="20"/>
                <w:szCs w:val="20"/>
              </w:rPr>
              <w:t>Secondary School</w:t>
            </w:r>
            <w:r>
              <w:rPr>
                <w:sz w:val="20"/>
                <w:szCs w:val="20"/>
              </w:rPr>
              <w:t xml:space="preserve"> – 50% Internalisation</w:t>
            </w:r>
          </w:p>
        </w:tc>
        <w:tc>
          <w:tcPr>
            <w:tcW w:w="3685" w:type="dxa"/>
            <w:vAlign w:val="center"/>
          </w:tcPr>
          <w:p w14:paraId="6B8FD9BF" w14:textId="7613D90A" w:rsidR="00F37AAE" w:rsidRDefault="00D10C35" w:rsidP="007E539A">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 Internalisation (equating to 6% of all trips)</w:t>
            </w:r>
          </w:p>
          <w:p w14:paraId="4802408E" w14:textId="0378EBC4" w:rsidR="00D10C35" w:rsidRPr="00F37AAE" w:rsidRDefault="00D10C35" w:rsidP="007E539A">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sidRPr="007E539A">
              <w:rPr>
                <w:b/>
                <w:bCs/>
                <w:sz w:val="20"/>
                <w:szCs w:val="20"/>
              </w:rPr>
              <w:t>Education Escort*</w:t>
            </w:r>
            <w:r>
              <w:rPr>
                <w:sz w:val="20"/>
                <w:szCs w:val="20"/>
              </w:rPr>
              <w:t xml:space="preserve"> – 90% Internalisation (equating to 5% of all trips)</w:t>
            </w:r>
          </w:p>
        </w:tc>
      </w:tr>
      <w:tr w:rsidR="00F37AAE" w:rsidRPr="00F37AAE" w14:paraId="047CBB87" w14:textId="77777777" w:rsidTr="00CA51D2">
        <w:trPr>
          <w:trHeight w:val="382"/>
        </w:trPr>
        <w:tc>
          <w:tcPr>
            <w:cnfStyle w:val="001000000000" w:firstRow="0" w:lastRow="0" w:firstColumn="1" w:lastColumn="0" w:oddVBand="0" w:evenVBand="0" w:oddHBand="0" w:evenHBand="0" w:firstRowFirstColumn="0" w:firstRowLastColumn="0" w:lastRowFirstColumn="0" w:lastRowLastColumn="0"/>
            <w:tcW w:w="0" w:type="dxa"/>
            <w:vAlign w:val="center"/>
          </w:tcPr>
          <w:p w14:paraId="784B3CD7" w14:textId="05772ED8" w:rsidR="00F37AAE" w:rsidRPr="00F37AAE" w:rsidRDefault="00F37AAE" w:rsidP="007E539A">
            <w:pPr>
              <w:pStyle w:val="TableText"/>
              <w:keepNext/>
              <w:keepLines/>
              <w:widowControl w:val="0"/>
              <w:rPr>
                <w:sz w:val="20"/>
                <w:szCs w:val="20"/>
              </w:rPr>
            </w:pPr>
            <w:r>
              <w:rPr>
                <w:sz w:val="20"/>
                <w:szCs w:val="20"/>
              </w:rPr>
              <w:t>Retail</w:t>
            </w:r>
          </w:p>
        </w:tc>
        <w:tc>
          <w:tcPr>
            <w:tcW w:w="0" w:type="dxa"/>
            <w:vAlign w:val="center"/>
          </w:tcPr>
          <w:p w14:paraId="203912AA" w14:textId="484CD714" w:rsidR="00F37AAE" w:rsidRDefault="00D10C35" w:rsidP="007E539A">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sidRPr="00D10C35">
              <w:rPr>
                <w:b/>
                <w:bCs/>
                <w:sz w:val="20"/>
                <w:szCs w:val="20"/>
              </w:rPr>
              <w:t>Local Shops</w:t>
            </w:r>
            <w:r>
              <w:rPr>
                <w:sz w:val="20"/>
                <w:szCs w:val="20"/>
              </w:rPr>
              <w:t xml:space="preserve"> – 75% Internalisation</w:t>
            </w:r>
          </w:p>
          <w:p w14:paraId="7969ED3A" w14:textId="46E40676" w:rsidR="00D10C35" w:rsidRPr="00F37AAE" w:rsidRDefault="00D10C35" w:rsidP="007E539A">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sidRPr="00D10C35">
              <w:rPr>
                <w:b/>
                <w:bCs/>
                <w:sz w:val="20"/>
                <w:szCs w:val="20"/>
              </w:rPr>
              <w:t>Supermarket</w:t>
            </w:r>
            <w:r>
              <w:rPr>
                <w:sz w:val="20"/>
                <w:szCs w:val="20"/>
              </w:rPr>
              <w:t xml:space="preserve"> – 50% Internalisation</w:t>
            </w:r>
          </w:p>
        </w:tc>
        <w:tc>
          <w:tcPr>
            <w:tcW w:w="3685" w:type="dxa"/>
            <w:vAlign w:val="center"/>
          </w:tcPr>
          <w:p w14:paraId="6FBEC447" w14:textId="4241D915" w:rsidR="00F37AAE" w:rsidRPr="00F37AAE" w:rsidRDefault="00D10C35" w:rsidP="007E539A">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 Internalisation (equating to 9% of all trips)</w:t>
            </w:r>
          </w:p>
        </w:tc>
      </w:tr>
      <w:tr w:rsidR="00D10C35" w:rsidRPr="00F37AAE" w14:paraId="2DC62AF6" w14:textId="77777777" w:rsidTr="00CA51D2">
        <w:trPr>
          <w:trHeight w:val="382"/>
        </w:trPr>
        <w:tc>
          <w:tcPr>
            <w:cnfStyle w:val="001000000000" w:firstRow="0" w:lastRow="0" w:firstColumn="1" w:lastColumn="0" w:oddVBand="0" w:evenVBand="0" w:oddHBand="0" w:evenHBand="0" w:firstRowFirstColumn="0" w:firstRowLastColumn="0" w:lastRowFirstColumn="0" w:lastRowLastColumn="0"/>
            <w:tcW w:w="0" w:type="dxa"/>
            <w:vAlign w:val="center"/>
          </w:tcPr>
          <w:p w14:paraId="3683AB27" w14:textId="09369999" w:rsidR="00D10C35" w:rsidRDefault="00D10C35" w:rsidP="007E539A">
            <w:pPr>
              <w:pStyle w:val="TableText"/>
              <w:keepNext/>
              <w:keepLines/>
              <w:widowControl w:val="0"/>
              <w:rPr>
                <w:sz w:val="20"/>
                <w:szCs w:val="20"/>
              </w:rPr>
            </w:pPr>
            <w:r>
              <w:rPr>
                <w:sz w:val="20"/>
                <w:szCs w:val="20"/>
              </w:rPr>
              <w:t>Personal Business</w:t>
            </w:r>
          </w:p>
        </w:tc>
        <w:tc>
          <w:tcPr>
            <w:tcW w:w="0" w:type="dxa"/>
            <w:vAlign w:val="center"/>
          </w:tcPr>
          <w:p w14:paraId="7449BF9F" w14:textId="0EAF3204" w:rsidR="00D10C35" w:rsidRPr="00D10C35" w:rsidRDefault="00D10C35" w:rsidP="007E539A">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3685" w:type="dxa"/>
            <w:vAlign w:val="center"/>
          </w:tcPr>
          <w:p w14:paraId="4C492967" w14:textId="6892FDAB" w:rsidR="00D10C35" w:rsidRDefault="00D10C35" w:rsidP="007E539A">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 Internalisation (equating to 5% of all trips)</w:t>
            </w:r>
          </w:p>
        </w:tc>
      </w:tr>
      <w:tr w:rsidR="00D10C35" w:rsidRPr="00F37AAE" w14:paraId="32A35E0A" w14:textId="77777777" w:rsidTr="00CA51D2">
        <w:trPr>
          <w:trHeight w:val="382"/>
        </w:trPr>
        <w:tc>
          <w:tcPr>
            <w:cnfStyle w:val="001000000000" w:firstRow="0" w:lastRow="0" w:firstColumn="1" w:lastColumn="0" w:oddVBand="0" w:evenVBand="0" w:oddHBand="0" w:evenHBand="0" w:firstRowFirstColumn="0" w:firstRowLastColumn="0" w:lastRowFirstColumn="0" w:lastRowLastColumn="0"/>
            <w:tcW w:w="0" w:type="dxa"/>
            <w:vAlign w:val="center"/>
          </w:tcPr>
          <w:p w14:paraId="238E5410" w14:textId="5915983F" w:rsidR="00D10C35" w:rsidRDefault="00D10C35" w:rsidP="007E539A">
            <w:pPr>
              <w:pStyle w:val="TableText"/>
              <w:keepNext/>
              <w:keepLines/>
              <w:widowControl w:val="0"/>
              <w:rPr>
                <w:sz w:val="20"/>
                <w:szCs w:val="20"/>
              </w:rPr>
            </w:pPr>
            <w:r>
              <w:rPr>
                <w:sz w:val="20"/>
                <w:szCs w:val="20"/>
              </w:rPr>
              <w:t>Other including just walking</w:t>
            </w:r>
          </w:p>
        </w:tc>
        <w:tc>
          <w:tcPr>
            <w:tcW w:w="0" w:type="dxa"/>
            <w:vAlign w:val="center"/>
          </w:tcPr>
          <w:p w14:paraId="263BB8DE" w14:textId="428DD0B3" w:rsidR="00D10C35" w:rsidRPr="00D10C35" w:rsidRDefault="00D10C35" w:rsidP="007E539A">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3685" w:type="dxa"/>
            <w:vAlign w:val="center"/>
          </w:tcPr>
          <w:p w14:paraId="5C2FD8F7" w14:textId="43122AAC" w:rsidR="00D10C35" w:rsidRDefault="00D10C35" w:rsidP="007E539A">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 Internalisation (equating to 6% of all trips)</w:t>
            </w:r>
          </w:p>
        </w:tc>
      </w:tr>
    </w:tbl>
    <w:p w14:paraId="4C438127" w14:textId="38AF126D" w:rsidR="007E539A" w:rsidRPr="007E539A" w:rsidRDefault="007E539A" w:rsidP="007E539A">
      <w:pPr>
        <w:pStyle w:val="BodyTextNumbered"/>
        <w:numPr>
          <w:ilvl w:val="0"/>
          <w:numId w:val="0"/>
        </w:numPr>
        <w:ind w:left="851"/>
        <w:rPr>
          <w:i/>
          <w:iCs/>
          <w:sz w:val="20"/>
          <w:szCs w:val="20"/>
        </w:rPr>
      </w:pPr>
      <w:r w:rsidRPr="007E539A">
        <w:rPr>
          <w:i/>
          <w:iCs/>
          <w:sz w:val="20"/>
          <w:szCs w:val="20"/>
        </w:rPr>
        <w:t>* used when the traveller has no purpose of his or her own, other than to escort or accompany another person; for example, taking a child to school.</w:t>
      </w:r>
    </w:p>
    <w:p w14:paraId="1EED2F23" w14:textId="19143A4B" w:rsidR="00DB0A55" w:rsidRDefault="00EC35A6" w:rsidP="007E539A">
      <w:pPr>
        <w:pStyle w:val="BodyTextNumbered"/>
      </w:pPr>
      <w:r>
        <w:t>T</w:t>
      </w:r>
      <w:r w:rsidR="007E539A">
        <w:t>he total internalisation detailed by Stantec using their trip impact assessment</w:t>
      </w:r>
      <w:r w:rsidR="007E539A">
        <w:rPr>
          <w:rStyle w:val="FootnoteReference"/>
        </w:rPr>
        <w:footnoteReference w:id="11"/>
      </w:r>
      <w:r w:rsidR="007E539A">
        <w:t xml:space="preserve">, indicates that 56% of all person trips could be internalised within the AM peak with 41% internalisation </w:t>
      </w:r>
      <w:r w:rsidR="00353A25">
        <w:t xml:space="preserve">estimated </w:t>
      </w:r>
      <w:r w:rsidR="007E539A">
        <w:t xml:space="preserve">for the PM peak. For </w:t>
      </w:r>
      <w:r w:rsidR="00CC292C">
        <w:t xml:space="preserve">WSP, a total internalisation factor of 38% was </w:t>
      </w:r>
      <w:r w:rsidR="00E353D4">
        <w:t>identified.</w:t>
      </w:r>
      <w:r w:rsidR="00CC292C">
        <w:t xml:space="preserve"> </w:t>
      </w:r>
    </w:p>
    <w:p w14:paraId="252AD55B" w14:textId="09BDD560" w:rsidR="00CC292C" w:rsidRDefault="00E353D4" w:rsidP="007E539A">
      <w:pPr>
        <w:pStyle w:val="BodyTextNumbered"/>
      </w:pPr>
      <w:r>
        <w:t>As to commuting and retail trips</w:t>
      </w:r>
      <w:r w:rsidRPr="009969A4">
        <w:t>,</w:t>
      </w:r>
      <w:r>
        <w:t xml:space="preserve"> </w:t>
      </w:r>
      <w:r w:rsidR="002758B5">
        <w:t xml:space="preserve">a </w:t>
      </w:r>
      <w:r w:rsidR="006F38D5">
        <w:t>commercial and retail floorspace assessment has been completed by Marrons</w:t>
      </w:r>
      <w:r w:rsidR="006F38D5">
        <w:rPr>
          <w:rStyle w:val="FootnoteReference"/>
        </w:rPr>
        <w:footnoteReference w:id="12"/>
      </w:r>
      <w:r w:rsidR="006F38D5">
        <w:t xml:space="preserve">. For the commercial aspects, the report </w:t>
      </w:r>
      <w:r>
        <w:t>assesses</w:t>
      </w:r>
      <w:r w:rsidR="006F38D5">
        <w:t xml:space="preserve"> that </w:t>
      </w:r>
      <w:r w:rsidR="006F38D5" w:rsidRPr="006F38D5">
        <w:rPr>
          <w:i/>
          <w:iCs/>
        </w:rPr>
        <w:t>‘46% of retail expenditure will be retained within Tudeley Village’</w:t>
      </w:r>
      <w:r w:rsidR="006F38D5">
        <w:t xml:space="preserve"> based on the scale of the retail capacity proposed.</w:t>
      </w:r>
      <w:r w:rsidR="00FE2A31">
        <w:t xml:space="preserve"> This level of internal expenditure broadly aligns with the internalisation factors detailed by WSP and Stantec (for the supermarket), highlighting the capacity of the onsite retail facilities to capture demand from residents. </w:t>
      </w:r>
    </w:p>
    <w:p w14:paraId="4851189A" w14:textId="662A8287" w:rsidR="00FE2A31" w:rsidRDefault="000661C9" w:rsidP="007E539A">
      <w:pPr>
        <w:pStyle w:val="BodyTextNumbered"/>
      </w:pPr>
      <w:r>
        <w:t>For</w:t>
      </w:r>
      <w:r w:rsidR="00FE2A31">
        <w:t xml:space="preserve"> commuting, the Marrons report </w:t>
      </w:r>
      <w:r w:rsidR="00E353D4">
        <w:t xml:space="preserve">demonstrates </w:t>
      </w:r>
      <w:r w:rsidR="00FE2A31">
        <w:t xml:space="preserve">that </w:t>
      </w:r>
      <w:r w:rsidR="00FE2A31" w:rsidRPr="00FE2A31">
        <w:rPr>
          <w:i/>
          <w:iCs/>
        </w:rPr>
        <w:t>‘the proposed commercial floorspace would broadly provide employment needs for 15% of residents’</w:t>
      </w:r>
      <w:r w:rsidR="00FE2A31">
        <w:t xml:space="preserve">. </w:t>
      </w:r>
      <w:r w:rsidR="00E353D4">
        <w:t xml:space="preserve">This is a </w:t>
      </w:r>
      <w:r w:rsidR="00E84B77">
        <w:t xml:space="preserve">robust assessment where this figure refers only to </w:t>
      </w:r>
      <w:r w:rsidR="00FE2A31">
        <w:t xml:space="preserve">the dedicated, traditional B Class (now Class E) floorspace and town centre retail, </w:t>
      </w:r>
      <w:r w:rsidR="00E84B77">
        <w:t>and without including the effects of</w:t>
      </w:r>
      <w:r w:rsidR="00E84B77" w:rsidRPr="009969A4">
        <w:t xml:space="preserve"> </w:t>
      </w:r>
      <w:r w:rsidR="00FE2A31">
        <w:t>other on</w:t>
      </w:r>
      <w:r w:rsidR="00A03D12">
        <w:t>-</w:t>
      </w:r>
      <w:r w:rsidR="00FE2A31">
        <w:t>site employers such as the educational facilities. This</w:t>
      </w:r>
      <w:r w:rsidR="00E84B77">
        <w:t xml:space="preserve"> assessment</w:t>
      </w:r>
      <w:r w:rsidR="00FE2A31">
        <w:t xml:space="preserve"> lies between the internalisation factors for both Stantec and WSP, highlighting the </w:t>
      </w:r>
      <w:r w:rsidR="00E84B77">
        <w:t>appropriateness</w:t>
      </w:r>
      <w:r w:rsidR="00FE2A31">
        <w:t xml:space="preserve"> of the ass</w:t>
      </w:r>
      <w:r w:rsidR="00E84B77">
        <w:t>essments</w:t>
      </w:r>
      <w:r w:rsidR="00FE2A31">
        <w:t xml:space="preserve"> made and clearly demonstrating the suitability of the land uses proposed to offer meaningful employment</w:t>
      </w:r>
      <w:r w:rsidR="00127E31">
        <w:t xml:space="preserve"> opportunities for future residents.</w:t>
      </w:r>
    </w:p>
    <w:p w14:paraId="186F427F" w14:textId="0D4FBA3D" w:rsidR="00FE2A31" w:rsidRDefault="00127E31" w:rsidP="007E539A">
      <w:pPr>
        <w:pStyle w:val="BodyTextNumbered"/>
      </w:pPr>
      <w:r>
        <w:lastRenderedPageBreak/>
        <w:t>Within the report, a</w:t>
      </w:r>
      <w:r w:rsidR="00FE2A31">
        <w:t xml:space="preserve">n initial assessment of the impacts of COVID-19 and home working are </w:t>
      </w:r>
      <w:r w:rsidR="00E84B77">
        <w:t xml:space="preserve">also </w:t>
      </w:r>
      <w:r w:rsidR="00FE2A31">
        <w:t xml:space="preserve">outlined, with Marrons noting that the 2021 Census indicates 43% of Tunbridge Wells residents </w:t>
      </w:r>
      <w:r>
        <w:t xml:space="preserve">as working from home, compared to only 14% for the 2011 Census. It is appreciated that the 2021 Census was conducted during a period of COVID-19 restrictions, where the level of home working is likely to have been greater than current conditions. </w:t>
      </w:r>
    </w:p>
    <w:p w14:paraId="68826A57" w14:textId="154B6864" w:rsidR="00127E31" w:rsidRDefault="00127E31" w:rsidP="007E539A">
      <w:pPr>
        <w:pStyle w:val="BodyTextNumbered"/>
      </w:pPr>
      <w:r>
        <w:t xml:space="preserve">Recent evidence by the ONS notes that </w:t>
      </w:r>
      <w:r w:rsidRPr="00127E31">
        <w:rPr>
          <w:i/>
          <w:iCs/>
        </w:rPr>
        <w:t>‘among working adults who have worked in the last seven days, 16% reported working from home only and 28% reported both working from home and travelling to work over the period September 2022 to January 2023</w:t>
      </w:r>
      <w:r w:rsidRPr="00127E31">
        <w:rPr>
          <w:rStyle w:val="FootnoteReference"/>
          <w:i/>
          <w:iCs/>
        </w:rPr>
        <w:footnoteReference w:id="13"/>
      </w:r>
      <w:r w:rsidRPr="00127E31">
        <w:rPr>
          <w:i/>
          <w:iCs/>
        </w:rPr>
        <w:t>’</w:t>
      </w:r>
      <w:r>
        <w:t>.</w:t>
      </w:r>
      <w:r w:rsidR="00356B7C">
        <w:t xml:space="preserve"> Due to the timings of the reports from both Stantec and WSP,</w:t>
      </w:r>
      <w:r w:rsidR="00E84B77">
        <w:t xml:space="preserve"> </w:t>
      </w:r>
      <w:r w:rsidR="00A03D12">
        <w:t xml:space="preserve">a </w:t>
      </w:r>
      <w:r w:rsidR="002758B5">
        <w:t>more limited</w:t>
      </w:r>
      <w:r w:rsidR="00356B7C">
        <w:t xml:space="preserve"> consideration of the ongoing home working trends </w:t>
      </w:r>
      <w:r w:rsidR="00A03D12">
        <w:t xml:space="preserve">was </w:t>
      </w:r>
      <w:r w:rsidR="00356B7C">
        <w:t xml:space="preserve">considered, with no explicit account for home working provided by Stantec and only a small percentage (3% of trips) </w:t>
      </w:r>
      <w:r w:rsidR="00C8233F">
        <w:t xml:space="preserve">reflected </w:t>
      </w:r>
      <w:r w:rsidR="00DE17D1">
        <w:t xml:space="preserve">within </w:t>
      </w:r>
      <w:r w:rsidR="00353A25">
        <w:t xml:space="preserve">the </w:t>
      </w:r>
      <w:r w:rsidR="00DE17D1">
        <w:t>WSP assessment.</w:t>
      </w:r>
    </w:p>
    <w:p w14:paraId="4EEB084E" w14:textId="64CD9B34" w:rsidR="00DE17D1" w:rsidRDefault="00C8233F" w:rsidP="007E539A">
      <w:pPr>
        <w:pStyle w:val="BodyTextNumbered"/>
      </w:pPr>
      <w:r>
        <w:t xml:space="preserve">The </w:t>
      </w:r>
      <w:r w:rsidR="00DE17D1">
        <w:t xml:space="preserve">Marrons report concludes that </w:t>
      </w:r>
      <w:r w:rsidR="00DE17D1" w:rsidRPr="00DE17D1">
        <w:rPr>
          <w:i/>
          <w:iCs/>
        </w:rPr>
        <w:t>‘it is therefore reasonable to assume that between 30% and 58% of Tudeley Village residents could potentially work locally – either at home or within the planned commercial floorspace’</w:t>
      </w:r>
      <w:r w:rsidR="00DE17D1">
        <w:t>. Given the levels of internalisation</w:t>
      </w:r>
      <w:r>
        <w:t xml:space="preserve"> analysed</w:t>
      </w:r>
      <w:r w:rsidR="00DE17D1">
        <w:t xml:space="preserve"> </w:t>
      </w:r>
      <w:r w:rsidR="00353A25">
        <w:t>above</w:t>
      </w:r>
      <w:r w:rsidR="00DE17D1">
        <w:t xml:space="preserve">, </w:t>
      </w:r>
      <w:r>
        <w:t xml:space="preserve">these figures reflect </w:t>
      </w:r>
      <w:r w:rsidR="00DE17D1">
        <w:t xml:space="preserve">a robust assessment of future </w:t>
      </w:r>
      <w:r w:rsidR="00353A25">
        <w:t>travel</w:t>
      </w:r>
      <w:r w:rsidR="00DE17D1">
        <w:t xml:space="preserve"> at the site,</w:t>
      </w:r>
      <w:r>
        <w:t xml:space="preserve"> and</w:t>
      </w:r>
      <w:r w:rsidR="00DE17D1">
        <w:t xml:space="preserve"> which </w:t>
      </w:r>
      <w:r>
        <w:t xml:space="preserve">would be expected to be </w:t>
      </w:r>
      <w:r w:rsidR="00DE17D1">
        <w:t xml:space="preserve">increased based on home and hybrid working patterns </w:t>
      </w:r>
      <w:r>
        <w:t xml:space="preserve">for the </w:t>
      </w:r>
      <w:r w:rsidR="00DE17D1">
        <w:t xml:space="preserve">future. </w:t>
      </w:r>
    </w:p>
    <w:p w14:paraId="51042686" w14:textId="0094E340" w:rsidR="00DE17D1" w:rsidRDefault="00DE17D1" w:rsidP="007E539A">
      <w:pPr>
        <w:pStyle w:val="BodyTextNumbered"/>
      </w:pPr>
      <w:r>
        <w:t xml:space="preserve">The site proposes the development of a 3 Form Entry (FE) primary school and 6FE secondary school. </w:t>
      </w:r>
      <w:r w:rsidR="00EC35A6">
        <w:t xml:space="preserve">KCC, </w:t>
      </w:r>
      <w:r w:rsidR="00184FC3">
        <w:t xml:space="preserve">as the Local Education Authority, assess need for education for new developments </w:t>
      </w:r>
      <w:r w:rsidR="000661C9">
        <w:t>using</w:t>
      </w:r>
      <w:r w:rsidR="00184FC3">
        <w:t xml:space="preserve"> Pupil Product Ratios (PPR). KCC assess Pupil Product on the assumption that new development comprise 90% houses and 10% flats, with the following PPRs:-</w:t>
      </w:r>
    </w:p>
    <w:p w14:paraId="6750C15E" w14:textId="7506E1A6" w:rsidR="00184FC3" w:rsidRDefault="00184FC3" w:rsidP="00184FC3">
      <w:pPr>
        <w:pStyle w:val="ListBullet"/>
      </w:pPr>
      <w:r w:rsidRPr="00184FC3">
        <w:rPr>
          <w:b/>
          <w:bCs/>
        </w:rPr>
        <w:t>Primary Education</w:t>
      </w:r>
      <w:r>
        <w:t xml:space="preserve"> – Houses = 0.28 and Flats = 0.07; and </w:t>
      </w:r>
    </w:p>
    <w:p w14:paraId="240B8A54" w14:textId="57EA1BE8" w:rsidR="00184FC3" w:rsidRDefault="00184FC3" w:rsidP="00184FC3">
      <w:pPr>
        <w:pStyle w:val="ListBullet"/>
      </w:pPr>
      <w:r w:rsidRPr="00184FC3">
        <w:rPr>
          <w:b/>
          <w:bCs/>
        </w:rPr>
        <w:t>Secondary Education</w:t>
      </w:r>
      <w:r>
        <w:t xml:space="preserve"> – Houses = 0.20 and Flats = 0.05</w:t>
      </w:r>
      <w:r w:rsidRPr="00184FC3">
        <w:rPr>
          <w:rStyle w:val="FootnoteReference"/>
        </w:rPr>
        <w:footnoteReference w:id="14"/>
      </w:r>
      <w:r w:rsidRPr="00184FC3">
        <w:rPr>
          <w:vertAlign w:val="superscript"/>
        </w:rPr>
        <w:t>,</w:t>
      </w:r>
      <w:r>
        <w:rPr>
          <w:rStyle w:val="FootnoteReference"/>
        </w:rPr>
        <w:footnoteReference w:id="15"/>
      </w:r>
      <w:r>
        <w:t xml:space="preserve">. </w:t>
      </w:r>
    </w:p>
    <w:p w14:paraId="07383E6A" w14:textId="0E0B057E" w:rsidR="00184FC3" w:rsidRDefault="0065300A" w:rsidP="00184FC3">
      <w:pPr>
        <w:pStyle w:val="BodyTextNumbered"/>
      </w:pPr>
      <w:r>
        <w:t xml:space="preserve">Based on the assumption of 210 pupils per FE, the primary school has a capacity of 630 pupils with the secondary accommodating 1,260 pupils. Taking the above PPRs and the development of 2,800 units, the following demand for education places is </w:t>
      </w:r>
      <w:r w:rsidR="00353A25">
        <w:t>estimated</w:t>
      </w:r>
      <w:r>
        <w:t>:-</w:t>
      </w:r>
    </w:p>
    <w:p w14:paraId="37A85498" w14:textId="7C351601" w:rsidR="0065300A" w:rsidRDefault="0065300A" w:rsidP="00DE32BD">
      <w:pPr>
        <w:pStyle w:val="Caption"/>
      </w:pPr>
      <w:bookmarkStart w:id="5" w:name="_Ref132711256"/>
      <w:r>
        <w:t xml:space="preserve">Table </w:t>
      </w:r>
      <w:r>
        <w:rPr>
          <w:noProof/>
        </w:rPr>
        <w:fldChar w:fldCharType="begin"/>
      </w:r>
      <w:r>
        <w:rPr>
          <w:noProof/>
        </w:rPr>
        <w:instrText xml:space="preserve"> STYLEREF 1 \s </w:instrText>
      </w:r>
      <w:r>
        <w:rPr>
          <w:noProof/>
        </w:rPr>
        <w:fldChar w:fldCharType="separate"/>
      </w:r>
      <w:r w:rsidR="0099381E">
        <w:rPr>
          <w:noProof/>
        </w:rPr>
        <w:t>4</w:t>
      </w:r>
      <w:r>
        <w:rPr>
          <w:noProof/>
        </w:rPr>
        <w:fldChar w:fldCharType="end"/>
      </w:r>
      <w:r>
        <w:t>.</w:t>
      </w:r>
      <w:r>
        <w:rPr>
          <w:noProof/>
        </w:rPr>
        <w:fldChar w:fldCharType="begin"/>
      </w:r>
      <w:r>
        <w:rPr>
          <w:noProof/>
        </w:rPr>
        <w:instrText xml:space="preserve"> SEQ Table \* ARABIC \s 1 </w:instrText>
      </w:r>
      <w:r>
        <w:rPr>
          <w:noProof/>
        </w:rPr>
        <w:fldChar w:fldCharType="separate"/>
      </w:r>
      <w:r w:rsidR="0099381E">
        <w:rPr>
          <w:noProof/>
        </w:rPr>
        <w:t>2</w:t>
      </w:r>
      <w:r>
        <w:rPr>
          <w:noProof/>
        </w:rPr>
        <w:fldChar w:fldCharType="end"/>
      </w:r>
      <w:bookmarkEnd w:id="5"/>
      <w:r>
        <w:tab/>
      </w:r>
      <w:r w:rsidR="002658B0">
        <w:t xml:space="preserve">Education Internalisation </w:t>
      </w:r>
    </w:p>
    <w:tbl>
      <w:tblPr>
        <w:tblStyle w:val="MKTable1"/>
        <w:tblW w:w="0" w:type="auto"/>
        <w:tblLook w:val="06A0" w:firstRow="1" w:lastRow="0" w:firstColumn="1" w:lastColumn="0" w:noHBand="1" w:noVBand="1"/>
      </w:tblPr>
      <w:tblGrid>
        <w:gridCol w:w="1182"/>
        <w:gridCol w:w="1242"/>
        <w:gridCol w:w="1563"/>
        <w:gridCol w:w="1220"/>
        <w:gridCol w:w="1506"/>
        <w:gridCol w:w="1490"/>
      </w:tblGrid>
      <w:tr w:rsidR="002658B0" w:rsidRPr="002658B0" w14:paraId="24FCF1C8" w14:textId="665CF8A5" w:rsidTr="002658B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82" w:type="dxa"/>
          </w:tcPr>
          <w:p w14:paraId="4FC22CC6" w14:textId="332DBB9B" w:rsidR="002658B0" w:rsidRPr="002658B0" w:rsidRDefault="002658B0" w:rsidP="002658B0">
            <w:pPr>
              <w:pStyle w:val="TableText"/>
              <w:keepNext/>
              <w:keepLines/>
              <w:widowControl w:val="0"/>
              <w:rPr>
                <w:sz w:val="20"/>
                <w:szCs w:val="20"/>
              </w:rPr>
            </w:pPr>
            <w:r>
              <w:rPr>
                <w:sz w:val="20"/>
                <w:szCs w:val="20"/>
              </w:rPr>
              <w:t>Education Type</w:t>
            </w:r>
          </w:p>
        </w:tc>
        <w:tc>
          <w:tcPr>
            <w:tcW w:w="1242" w:type="dxa"/>
          </w:tcPr>
          <w:p w14:paraId="673C94CC" w14:textId="0A4C1C1A" w:rsidR="002658B0" w:rsidRPr="002658B0" w:rsidRDefault="002658B0" w:rsidP="00DE32BD">
            <w:pPr>
              <w:pStyle w:val="TableText"/>
              <w:keepNext/>
              <w:keepLines/>
              <w:widowControl w:val="0"/>
              <w:cnfStyle w:val="100000000000" w:firstRow="1" w:lastRow="0" w:firstColumn="0" w:lastColumn="0" w:oddVBand="0" w:evenVBand="0" w:oddHBand="0" w:evenHBand="0" w:firstRowFirstColumn="0" w:firstRowLastColumn="0" w:lastRowFirstColumn="0" w:lastRowLastColumn="0"/>
              <w:rPr>
                <w:sz w:val="20"/>
                <w:szCs w:val="20"/>
              </w:rPr>
            </w:pPr>
            <w:r w:rsidRPr="002658B0">
              <w:rPr>
                <w:sz w:val="20"/>
                <w:szCs w:val="20"/>
              </w:rPr>
              <w:t>Flats</w:t>
            </w:r>
          </w:p>
        </w:tc>
        <w:tc>
          <w:tcPr>
            <w:tcW w:w="1563" w:type="dxa"/>
          </w:tcPr>
          <w:p w14:paraId="1A255364" w14:textId="30045868" w:rsidR="002658B0" w:rsidRPr="002658B0" w:rsidRDefault="002658B0" w:rsidP="00DE32BD">
            <w:pPr>
              <w:pStyle w:val="TableText"/>
              <w:keepNext/>
              <w:keepLines/>
              <w:widowControl w:val="0"/>
              <w:cnfStyle w:val="100000000000" w:firstRow="1" w:lastRow="0" w:firstColumn="0" w:lastColumn="0" w:oddVBand="0" w:evenVBand="0" w:oddHBand="0" w:evenHBand="0" w:firstRowFirstColumn="0" w:firstRowLastColumn="0" w:lastRowFirstColumn="0" w:lastRowLastColumn="0"/>
              <w:rPr>
                <w:sz w:val="20"/>
                <w:szCs w:val="20"/>
              </w:rPr>
            </w:pPr>
            <w:r w:rsidRPr="002658B0">
              <w:rPr>
                <w:sz w:val="20"/>
                <w:szCs w:val="20"/>
              </w:rPr>
              <w:t xml:space="preserve">Houses </w:t>
            </w:r>
          </w:p>
        </w:tc>
        <w:tc>
          <w:tcPr>
            <w:tcW w:w="1220" w:type="dxa"/>
          </w:tcPr>
          <w:p w14:paraId="380D6D07" w14:textId="002A1777" w:rsidR="002658B0" w:rsidRPr="002658B0" w:rsidRDefault="002658B0" w:rsidP="00DE32BD">
            <w:pPr>
              <w:pStyle w:val="TableText"/>
              <w:keepNext/>
              <w:keepLines/>
              <w:widowControl w:val="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Total</w:t>
            </w:r>
          </w:p>
        </w:tc>
        <w:tc>
          <w:tcPr>
            <w:tcW w:w="1506" w:type="dxa"/>
          </w:tcPr>
          <w:p w14:paraId="041A1D40" w14:textId="3D59C5FE" w:rsidR="002658B0" w:rsidRPr="002658B0" w:rsidRDefault="002658B0" w:rsidP="00DE32BD">
            <w:pPr>
              <w:pStyle w:val="TableText"/>
              <w:keepNext/>
              <w:keepLines/>
              <w:widowControl w:val="0"/>
              <w:cnfStyle w:val="100000000000" w:firstRow="1" w:lastRow="0" w:firstColumn="0" w:lastColumn="0" w:oddVBand="0" w:evenVBand="0" w:oddHBand="0" w:evenHBand="0" w:firstRowFirstColumn="0" w:firstRowLastColumn="0" w:lastRowFirstColumn="0" w:lastRowLastColumn="0"/>
              <w:rPr>
                <w:sz w:val="20"/>
                <w:szCs w:val="20"/>
              </w:rPr>
            </w:pPr>
            <w:r w:rsidRPr="002658B0">
              <w:rPr>
                <w:sz w:val="20"/>
                <w:szCs w:val="20"/>
              </w:rPr>
              <w:t xml:space="preserve">Onsite Provision </w:t>
            </w:r>
          </w:p>
        </w:tc>
        <w:tc>
          <w:tcPr>
            <w:tcW w:w="1490" w:type="dxa"/>
          </w:tcPr>
          <w:p w14:paraId="17BBAC9C" w14:textId="09F81D5F" w:rsidR="002658B0" w:rsidRPr="002658B0" w:rsidRDefault="002658B0" w:rsidP="00DE32BD">
            <w:pPr>
              <w:pStyle w:val="TableText"/>
              <w:keepNext/>
              <w:keepLines/>
              <w:widowControl w:val="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Internalisation</w:t>
            </w:r>
          </w:p>
        </w:tc>
      </w:tr>
      <w:tr w:rsidR="002658B0" w:rsidRPr="002658B0" w14:paraId="701B6BB7" w14:textId="15D987E9" w:rsidTr="002658B0">
        <w:trPr>
          <w:trHeight w:val="370"/>
        </w:trPr>
        <w:tc>
          <w:tcPr>
            <w:cnfStyle w:val="001000000000" w:firstRow="0" w:lastRow="0" w:firstColumn="1" w:lastColumn="0" w:oddVBand="0" w:evenVBand="0" w:oddHBand="0" w:evenHBand="0" w:firstRowFirstColumn="0" w:firstRowLastColumn="0" w:lastRowFirstColumn="0" w:lastRowLastColumn="0"/>
            <w:tcW w:w="1182" w:type="dxa"/>
          </w:tcPr>
          <w:p w14:paraId="16D43FF4" w14:textId="7894C706" w:rsidR="002658B0" w:rsidRPr="002658B0" w:rsidRDefault="002658B0" w:rsidP="00DE32BD">
            <w:pPr>
              <w:pStyle w:val="TableText"/>
              <w:keepNext/>
              <w:keepLines/>
              <w:widowControl w:val="0"/>
              <w:rPr>
                <w:sz w:val="20"/>
                <w:szCs w:val="20"/>
              </w:rPr>
            </w:pPr>
            <w:r w:rsidRPr="002658B0">
              <w:rPr>
                <w:sz w:val="20"/>
                <w:szCs w:val="20"/>
              </w:rPr>
              <w:t>Primary</w:t>
            </w:r>
          </w:p>
        </w:tc>
        <w:tc>
          <w:tcPr>
            <w:tcW w:w="1242" w:type="dxa"/>
          </w:tcPr>
          <w:p w14:paraId="67A63341" w14:textId="16E41CA3" w:rsidR="002658B0" w:rsidRPr="002658B0" w:rsidRDefault="002658B0"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1563" w:type="dxa"/>
          </w:tcPr>
          <w:p w14:paraId="6E09269E" w14:textId="3983DE24" w:rsidR="002658B0" w:rsidRPr="002658B0" w:rsidRDefault="002658B0"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706</w:t>
            </w:r>
          </w:p>
        </w:tc>
        <w:tc>
          <w:tcPr>
            <w:tcW w:w="1220" w:type="dxa"/>
          </w:tcPr>
          <w:p w14:paraId="3C3BDC33" w14:textId="470E056D" w:rsidR="002658B0" w:rsidRPr="002658B0" w:rsidRDefault="002658B0"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b/>
                <w:bCs/>
                <w:sz w:val="20"/>
                <w:szCs w:val="20"/>
              </w:rPr>
            </w:pPr>
            <w:r w:rsidRPr="002658B0">
              <w:rPr>
                <w:b/>
                <w:bCs/>
                <w:sz w:val="20"/>
                <w:szCs w:val="20"/>
              </w:rPr>
              <w:t>725</w:t>
            </w:r>
          </w:p>
        </w:tc>
        <w:tc>
          <w:tcPr>
            <w:tcW w:w="1506" w:type="dxa"/>
          </w:tcPr>
          <w:p w14:paraId="6612E220" w14:textId="63C0A397" w:rsidR="002658B0" w:rsidRPr="002658B0" w:rsidRDefault="002658B0"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630</w:t>
            </w:r>
          </w:p>
        </w:tc>
        <w:tc>
          <w:tcPr>
            <w:tcW w:w="1490" w:type="dxa"/>
          </w:tcPr>
          <w:p w14:paraId="553FA1B4" w14:textId="1BF64637" w:rsidR="002658B0" w:rsidRPr="002658B0" w:rsidRDefault="002658B0"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b/>
                <w:bCs/>
                <w:sz w:val="20"/>
                <w:szCs w:val="20"/>
              </w:rPr>
            </w:pPr>
            <w:r w:rsidRPr="002658B0">
              <w:rPr>
                <w:b/>
                <w:bCs/>
                <w:sz w:val="20"/>
                <w:szCs w:val="20"/>
              </w:rPr>
              <w:t>87%</w:t>
            </w:r>
          </w:p>
        </w:tc>
      </w:tr>
      <w:tr w:rsidR="002658B0" w:rsidRPr="002658B0" w14:paraId="5A1F8D4A" w14:textId="052B48BE" w:rsidTr="002658B0">
        <w:trPr>
          <w:trHeight w:val="370"/>
        </w:trPr>
        <w:tc>
          <w:tcPr>
            <w:cnfStyle w:val="001000000000" w:firstRow="0" w:lastRow="0" w:firstColumn="1" w:lastColumn="0" w:oddVBand="0" w:evenVBand="0" w:oddHBand="0" w:evenHBand="0" w:firstRowFirstColumn="0" w:firstRowLastColumn="0" w:lastRowFirstColumn="0" w:lastRowLastColumn="0"/>
            <w:tcW w:w="1182" w:type="dxa"/>
          </w:tcPr>
          <w:p w14:paraId="6700301B" w14:textId="67C34BBD" w:rsidR="002658B0" w:rsidRPr="002658B0" w:rsidRDefault="002658B0" w:rsidP="00DE32BD">
            <w:pPr>
              <w:pStyle w:val="TableText"/>
              <w:keepNext/>
              <w:keepLines/>
              <w:widowControl w:val="0"/>
              <w:rPr>
                <w:sz w:val="20"/>
                <w:szCs w:val="20"/>
              </w:rPr>
            </w:pPr>
            <w:r w:rsidRPr="002658B0">
              <w:rPr>
                <w:sz w:val="20"/>
                <w:szCs w:val="20"/>
              </w:rPr>
              <w:t>Secondary</w:t>
            </w:r>
          </w:p>
        </w:tc>
        <w:tc>
          <w:tcPr>
            <w:tcW w:w="1242" w:type="dxa"/>
          </w:tcPr>
          <w:p w14:paraId="0D4279EB" w14:textId="43155259" w:rsidR="002658B0" w:rsidRPr="002658B0" w:rsidRDefault="002658B0"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1563" w:type="dxa"/>
          </w:tcPr>
          <w:p w14:paraId="4A4BD462" w14:textId="7DDA20D2" w:rsidR="002658B0" w:rsidRPr="002658B0" w:rsidRDefault="002658B0"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504</w:t>
            </w:r>
          </w:p>
        </w:tc>
        <w:tc>
          <w:tcPr>
            <w:tcW w:w="1220" w:type="dxa"/>
          </w:tcPr>
          <w:p w14:paraId="1BE332E0" w14:textId="30325729" w:rsidR="002658B0" w:rsidRPr="002658B0" w:rsidRDefault="002658B0"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b/>
                <w:bCs/>
                <w:sz w:val="20"/>
                <w:szCs w:val="20"/>
              </w:rPr>
            </w:pPr>
            <w:r w:rsidRPr="002658B0">
              <w:rPr>
                <w:b/>
                <w:bCs/>
                <w:sz w:val="20"/>
                <w:szCs w:val="20"/>
              </w:rPr>
              <w:t>518</w:t>
            </w:r>
          </w:p>
        </w:tc>
        <w:tc>
          <w:tcPr>
            <w:tcW w:w="1506" w:type="dxa"/>
          </w:tcPr>
          <w:p w14:paraId="464520C7" w14:textId="02A8F4B1" w:rsidR="002658B0" w:rsidRPr="002658B0" w:rsidRDefault="002658B0"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1,260</w:t>
            </w:r>
          </w:p>
        </w:tc>
        <w:tc>
          <w:tcPr>
            <w:tcW w:w="1490" w:type="dxa"/>
          </w:tcPr>
          <w:p w14:paraId="68924609" w14:textId="4D15160C" w:rsidR="002658B0" w:rsidRPr="002658B0" w:rsidRDefault="002658B0"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sidRPr="002658B0">
              <w:rPr>
                <w:b/>
                <w:bCs/>
                <w:sz w:val="20"/>
                <w:szCs w:val="20"/>
              </w:rPr>
              <w:t>100</w:t>
            </w:r>
            <w:r>
              <w:rPr>
                <w:sz w:val="20"/>
                <w:szCs w:val="20"/>
              </w:rPr>
              <w:t>%</w:t>
            </w:r>
          </w:p>
        </w:tc>
      </w:tr>
    </w:tbl>
    <w:p w14:paraId="3B725CCE" w14:textId="77777777" w:rsidR="0065300A" w:rsidRDefault="0065300A" w:rsidP="00DE32BD"/>
    <w:p w14:paraId="22EC7F17" w14:textId="77CECD70" w:rsidR="0065300A" w:rsidRDefault="002658B0" w:rsidP="00184FC3">
      <w:pPr>
        <w:pStyle w:val="BodyTextNumbered"/>
      </w:pPr>
      <w:r>
        <w:lastRenderedPageBreak/>
        <w:t>The above indicates that the proposed 3FE primary school could accommodate 87% of the total demand generated by the site, with all secondary school demand being accommodate</w:t>
      </w:r>
      <w:r w:rsidR="000661C9">
        <w:t>d</w:t>
      </w:r>
      <w:r>
        <w:t xml:space="preserve"> onsite. It is</w:t>
      </w:r>
      <w:r w:rsidR="000661C9">
        <w:t xml:space="preserve"> </w:t>
      </w:r>
      <w:r>
        <w:t>acknowledged that Kent operates a selective education system for secondary school places</w:t>
      </w:r>
      <w:r w:rsidR="006D3B4F">
        <w:t xml:space="preserve">, which results in a proportion of secondary </w:t>
      </w:r>
      <w:r w:rsidR="000661C9">
        <w:t>aged</w:t>
      </w:r>
      <w:r w:rsidR="006D3B4F">
        <w:t xml:space="preserve"> pupils being enrolled at selective </w:t>
      </w:r>
      <w:r w:rsidR="003604B5">
        <w:t>g</w:t>
      </w:r>
      <w:r w:rsidR="006D3B4F">
        <w:t xml:space="preserve">rammar schools. Therefore, </w:t>
      </w:r>
      <w:r w:rsidR="000661C9">
        <w:t xml:space="preserve">whilst the scale of the secondary school accommodates the total demand, it is acknowledged that an element </w:t>
      </w:r>
      <w:r w:rsidR="0054489E">
        <w:t xml:space="preserve">of </w:t>
      </w:r>
      <w:r w:rsidR="00AF7353">
        <w:t xml:space="preserve">secondary school aged pupils will travel off site for </w:t>
      </w:r>
      <w:r w:rsidR="0054489E">
        <w:t>g</w:t>
      </w:r>
      <w:r w:rsidR="00AF7353">
        <w:t xml:space="preserve">rammar school </w:t>
      </w:r>
      <w:r w:rsidR="00A03D12">
        <w:t>enrolment,</w:t>
      </w:r>
      <w:r w:rsidR="00C8233F">
        <w:t xml:space="preserve"> but this would be the case for any development anywhere in Kent in consequence of this policy</w:t>
      </w:r>
      <w:r w:rsidR="00C8233F" w:rsidRPr="009969A4">
        <w:t xml:space="preserve">.  </w:t>
      </w:r>
      <w:r w:rsidR="000661C9">
        <w:t xml:space="preserve"> </w:t>
      </w:r>
    </w:p>
    <w:p w14:paraId="42D83C4F" w14:textId="1C7D4A8D" w:rsidR="006D3B4F" w:rsidRDefault="00DB069D" w:rsidP="00184FC3">
      <w:pPr>
        <w:pStyle w:val="BodyTextNumbered"/>
      </w:pPr>
      <w:r>
        <w:t xml:space="preserve">When comparing the assessment methodology outlined in </w:t>
      </w:r>
      <w:r w:rsidRPr="00BA4221">
        <w:rPr>
          <w:rStyle w:val="CrossRef"/>
        </w:rPr>
        <w:fldChar w:fldCharType="begin"/>
      </w:r>
      <w:r w:rsidRPr="00BA4221">
        <w:rPr>
          <w:rStyle w:val="CrossRef"/>
        </w:rPr>
        <w:instrText xml:space="preserve"> REF _Ref132711256 \h \* CHARFORMAT </w:instrText>
      </w:r>
      <w:r w:rsidRPr="00BA4221">
        <w:rPr>
          <w:rStyle w:val="CrossRef"/>
        </w:rPr>
      </w:r>
      <w:r w:rsidRPr="00BA4221">
        <w:rPr>
          <w:rStyle w:val="CrossRef"/>
        </w:rPr>
        <w:fldChar w:fldCharType="separate"/>
      </w:r>
      <w:r w:rsidR="0099381E" w:rsidRPr="00BA4221">
        <w:rPr>
          <w:rStyle w:val="CrossRef"/>
        </w:rPr>
        <w:t>Table 4.2</w:t>
      </w:r>
      <w:r w:rsidRPr="00BA4221">
        <w:rPr>
          <w:rStyle w:val="CrossRef"/>
        </w:rPr>
        <w:fldChar w:fldCharType="end"/>
      </w:r>
      <w:r>
        <w:t xml:space="preserve"> to the internalisation figures of both Stantec and WSP, it is maintained that </w:t>
      </w:r>
      <w:r w:rsidR="003506ED">
        <w:t>the onsite educational facilities allow for internalisation to be capitalised at the site</w:t>
      </w:r>
      <w:r w:rsidR="00AF7353">
        <w:t>.</w:t>
      </w:r>
    </w:p>
    <w:p w14:paraId="2C33334B" w14:textId="0296F033" w:rsidR="000D107B" w:rsidRDefault="003506ED" w:rsidP="00184FC3">
      <w:pPr>
        <w:pStyle w:val="BodyTextNumbered"/>
      </w:pPr>
      <w:r>
        <w:t>No further internalisation was</w:t>
      </w:r>
      <w:r w:rsidR="00C8233F">
        <w:t xml:space="preserve"> included</w:t>
      </w:r>
      <w:r>
        <w:t xml:space="preserve"> by Stantec</w:t>
      </w:r>
      <w:r w:rsidR="00C8233F">
        <w:t xml:space="preserve"> in </w:t>
      </w:r>
      <w:r w:rsidR="006F2C84">
        <w:t>their</w:t>
      </w:r>
      <w:r w:rsidR="00C8233F">
        <w:t xml:space="preserve"> report, whereas some </w:t>
      </w:r>
      <w:r w:rsidR="00C8233F" w:rsidRPr="009969A4">
        <w:t xml:space="preserve">allowances </w:t>
      </w:r>
      <w:r w:rsidR="00C8233F">
        <w:t>were</w:t>
      </w:r>
      <w:r>
        <w:t xml:space="preserve"> made for personal business movements and other</w:t>
      </w:r>
      <w:r w:rsidR="00C8233F">
        <w:t xml:space="preserve"> internalised </w:t>
      </w:r>
      <w:r>
        <w:t>journeys</w:t>
      </w:r>
      <w:r w:rsidR="00C8233F">
        <w:t xml:space="preserve"> which are likely in WSP’s assessment. </w:t>
      </w:r>
      <w:r w:rsidR="008016A1">
        <w:t>Given the additional evidence</w:t>
      </w:r>
      <w:r w:rsidR="00C8233F">
        <w:t xml:space="preserve"> now</w:t>
      </w:r>
      <w:r w:rsidR="008016A1">
        <w:t xml:space="preserve"> presented, it is c</w:t>
      </w:r>
      <w:r w:rsidR="00C8233F">
        <w:t>lear</w:t>
      </w:r>
      <w:r w:rsidR="008016A1">
        <w:t xml:space="preserve"> that the information </w:t>
      </w:r>
      <w:r w:rsidR="00C8233F">
        <w:t xml:space="preserve">that has been </w:t>
      </w:r>
      <w:r w:rsidR="008016A1">
        <w:t xml:space="preserve">submitted to date with respect to internalisation provides a </w:t>
      </w:r>
      <w:r w:rsidR="003E01F5">
        <w:t xml:space="preserve">robust and </w:t>
      </w:r>
      <w:r w:rsidR="008016A1">
        <w:t xml:space="preserve">realistic basis for assessment of the </w:t>
      </w:r>
      <w:r w:rsidR="003E01F5">
        <w:t>effects</w:t>
      </w:r>
      <w:r w:rsidR="008016A1">
        <w:t xml:space="preserve"> of the mix</w:t>
      </w:r>
      <w:r w:rsidR="003E01F5">
        <w:t xml:space="preserve"> of uses</w:t>
      </w:r>
      <w:r w:rsidR="008016A1">
        <w:t xml:space="preserve"> propose</w:t>
      </w:r>
      <w:r w:rsidR="003E01F5">
        <w:t>d in this location and it proves that</w:t>
      </w:r>
      <w:r w:rsidR="008016A1">
        <w:t xml:space="preserve"> the scale of internalisation </w:t>
      </w:r>
      <w:r w:rsidR="009A6050">
        <w:t>assume</w:t>
      </w:r>
      <w:r w:rsidR="008016A1">
        <w:t>d is not unreasonable</w:t>
      </w:r>
      <w:r w:rsidR="00AF4FD0">
        <w:t xml:space="preserve"> </w:t>
      </w:r>
      <w:r w:rsidR="006F2C84">
        <w:t>or</w:t>
      </w:r>
      <w:r w:rsidR="00AF4FD0">
        <w:t xml:space="preserve"> unrealistic.</w:t>
      </w:r>
    </w:p>
    <w:p w14:paraId="013B5B16" w14:textId="27C59986" w:rsidR="003506ED" w:rsidRDefault="003E01F5" w:rsidP="00184FC3">
      <w:pPr>
        <w:pStyle w:val="BodyTextNumbered"/>
      </w:pPr>
      <w:r w:rsidRPr="009969A4">
        <w:t>Th</w:t>
      </w:r>
      <w:r>
        <w:t>ese assessments do not include</w:t>
      </w:r>
      <w:r w:rsidRPr="009969A4">
        <w:t xml:space="preserve"> </w:t>
      </w:r>
      <w:r w:rsidR="000D107B">
        <w:t>localisation effect</w:t>
      </w:r>
      <w:r>
        <w:t>s,</w:t>
      </w:r>
      <w:r w:rsidR="000D107B">
        <w:t xml:space="preserve"> whereby existing trips on the road network could be made shorter in the future, as a direct result of the new site’s facilities and employment opportunities. Therefore, arguably, the level of reduction of trips on the highway network has actually</w:t>
      </w:r>
      <w:r>
        <w:t xml:space="preserve"> </w:t>
      </w:r>
      <w:r w:rsidR="000D107B">
        <w:t>been underestimated, rather than overestimated</w:t>
      </w:r>
      <w:r>
        <w:t xml:space="preserve"> in the assessments provided. </w:t>
      </w:r>
    </w:p>
    <w:p w14:paraId="077A2523" w14:textId="5D4CF2EC" w:rsidR="000D107B" w:rsidRDefault="000D107B" w:rsidP="00FB7640">
      <w:pPr>
        <w:pStyle w:val="Heading3"/>
      </w:pPr>
      <w:r>
        <w:t>Modal Shift Assumptions</w:t>
      </w:r>
    </w:p>
    <w:p w14:paraId="3E55305D" w14:textId="0778F3C6" w:rsidR="003B3A44" w:rsidRDefault="008016A1" w:rsidP="003B3A44">
      <w:pPr>
        <w:pStyle w:val="BodyTextNumbered"/>
      </w:pPr>
      <w:r>
        <w:t xml:space="preserve">In conjunction with the </w:t>
      </w:r>
      <w:r w:rsidR="000D107B">
        <w:t>internalisation factors</w:t>
      </w:r>
      <w:r>
        <w:t>,</w:t>
      </w:r>
      <w:r w:rsidR="00353A25">
        <w:t xml:space="preserve"> the potential for </w:t>
      </w:r>
      <w:r w:rsidR="009A6050">
        <w:t xml:space="preserve">modal </w:t>
      </w:r>
      <w:r w:rsidR="00353A25">
        <w:t>shift</w:t>
      </w:r>
      <w:r w:rsidR="009A6050">
        <w:t xml:space="preserve"> has </w:t>
      </w:r>
      <w:r w:rsidR="00353A25">
        <w:t xml:space="preserve">also </w:t>
      </w:r>
      <w:r w:rsidR="009A6050">
        <w:t>been assessed. SWECO</w:t>
      </w:r>
      <w:r w:rsidR="000D107B">
        <w:t>,</w:t>
      </w:r>
      <w:r w:rsidR="009A6050">
        <w:t xml:space="preserve"> within their strategic modelling for the Local Plan</w:t>
      </w:r>
      <w:r w:rsidR="000D107B">
        <w:t>,</w:t>
      </w:r>
      <w:r w:rsidR="009A6050">
        <w:t xml:space="preserve"> have assumed a 10% modal </w:t>
      </w:r>
      <w:r w:rsidR="00353A25">
        <w:t xml:space="preserve">shift </w:t>
      </w:r>
      <w:r w:rsidR="009A6050">
        <w:t>for the reduction in car driver movements</w:t>
      </w:r>
      <w:r w:rsidR="000D107B">
        <w:t>.</w:t>
      </w:r>
      <w:r w:rsidR="00AF7353" w:rsidRPr="00AF7353">
        <w:rPr>
          <w:rStyle w:val="FootnoteReference"/>
        </w:rPr>
        <w:footnoteReference w:id="16"/>
      </w:r>
      <w:r w:rsidR="00AF7353" w:rsidRPr="00AF7353">
        <w:rPr>
          <w:vertAlign w:val="superscript"/>
        </w:rPr>
        <w:t>,</w:t>
      </w:r>
      <w:r w:rsidR="00AF7353" w:rsidRPr="00AF7353">
        <w:rPr>
          <w:rStyle w:val="FootnoteReference"/>
        </w:rPr>
        <w:footnoteReference w:id="17"/>
      </w:r>
      <w:r w:rsidR="000D107B">
        <w:t xml:space="preserve"> T</w:t>
      </w:r>
      <w:r w:rsidR="00AF4FD0">
        <w:t xml:space="preserve">hey consider </w:t>
      </w:r>
      <w:r w:rsidR="000D107B">
        <w:t xml:space="preserve">this </w:t>
      </w:r>
      <w:r w:rsidR="00AF4FD0">
        <w:t xml:space="preserve">to be </w:t>
      </w:r>
      <w:r w:rsidR="00810586">
        <w:t xml:space="preserve">realistic based on analysis of case studies which has benchmarked this figure against other schemes as part of the Department for Transport’s (DfT’s) Sustainable Travel Towns analysis. Within their methodology, </w:t>
      </w:r>
      <w:r w:rsidR="009A6050">
        <w:t>Stantec conside</w:t>
      </w:r>
      <w:r w:rsidR="00810586">
        <w:t>red</w:t>
      </w:r>
      <w:r w:rsidR="009A6050">
        <w:t xml:space="preserve"> a 40% reduction in the car driver mode share </w:t>
      </w:r>
      <w:r w:rsidR="00810586">
        <w:t>to be</w:t>
      </w:r>
      <w:r w:rsidR="009A6050">
        <w:t xml:space="preserve"> reasonable</w:t>
      </w:r>
      <w:r w:rsidR="00810586">
        <w:rPr>
          <w:rStyle w:val="FootnoteReference"/>
        </w:rPr>
        <w:footnoteReference w:id="18"/>
      </w:r>
      <w:r w:rsidR="009A6050">
        <w:t xml:space="preserve">. WSP indicate </w:t>
      </w:r>
      <w:r w:rsidR="00AF4FD0">
        <w:t>a modal shift from 76% car driver to 50% car driver on completion of the proposals</w:t>
      </w:r>
      <w:r w:rsidR="003E01F5">
        <w:t xml:space="preserve"> for the evidenced reasons they gave</w:t>
      </w:r>
      <w:r w:rsidR="003E01F5">
        <w:rPr>
          <w:rStyle w:val="Heading5Char"/>
        </w:rPr>
        <w:t xml:space="preserve"> </w:t>
      </w:r>
      <w:r w:rsidR="00810586">
        <w:rPr>
          <w:rStyle w:val="FootnoteReference"/>
        </w:rPr>
        <w:footnoteReference w:id="19"/>
      </w:r>
      <w:r w:rsidR="00AF4FD0">
        <w:t xml:space="preserve">. </w:t>
      </w:r>
    </w:p>
    <w:p w14:paraId="44629504" w14:textId="41DA7CA4" w:rsidR="00AF4FD0" w:rsidRDefault="00AF4FD0" w:rsidP="003B3A44">
      <w:pPr>
        <w:pStyle w:val="BodyTextNumbered"/>
      </w:pPr>
      <w:r>
        <w:t xml:space="preserve">The earlier sections of this response </w:t>
      </w:r>
      <w:r w:rsidR="003E01F5">
        <w:t xml:space="preserve">also refer to </w:t>
      </w:r>
      <w:r>
        <w:t xml:space="preserve">feasible </w:t>
      </w:r>
      <w:r w:rsidR="003E01F5">
        <w:t xml:space="preserve">and </w:t>
      </w:r>
      <w:r w:rsidR="006F2C84">
        <w:t>deliverable</w:t>
      </w:r>
      <w:r>
        <w:t xml:space="preserve"> active transport improvements proposed as part of </w:t>
      </w:r>
      <w:r w:rsidR="00A03D12">
        <w:t>TGV</w:t>
      </w:r>
      <w:r>
        <w:t>. Given the conclusions reached with respect to these elements of the proposals, it is</w:t>
      </w:r>
      <w:r w:rsidR="003E01F5">
        <w:t xml:space="preserve"> clear</w:t>
      </w:r>
      <w:r>
        <w:t xml:space="preserve"> that modal shift can be achieved </w:t>
      </w:r>
      <w:r w:rsidR="000D107B">
        <w:t xml:space="preserve">within </w:t>
      </w:r>
      <w:r w:rsidR="00A03D12">
        <w:t>TGV</w:t>
      </w:r>
      <w:r>
        <w:t xml:space="preserve">, with high </w:t>
      </w:r>
      <w:r>
        <w:lastRenderedPageBreak/>
        <w:t xml:space="preserve">frequency bus services and </w:t>
      </w:r>
      <w:r w:rsidR="00A03D12">
        <w:t xml:space="preserve">high </w:t>
      </w:r>
      <w:r>
        <w:t xml:space="preserve">quality walking and cycling facilities providing residents with </w:t>
      </w:r>
      <w:r w:rsidR="000D107B">
        <w:t xml:space="preserve">genuine </w:t>
      </w:r>
      <w:r w:rsidR="00AF6727">
        <w:t>modal choice</w:t>
      </w:r>
      <w:r>
        <w:t>.</w:t>
      </w:r>
      <w:r w:rsidR="003A332A">
        <w:t xml:space="preserve"> Based on the evidence presented it is</w:t>
      </w:r>
      <w:r w:rsidR="00A03D12">
        <w:t xml:space="preserve"> </w:t>
      </w:r>
      <w:r w:rsidR="003E01F5">
        <w:t xml:space="preserve">clear that the allocation at </w:t>
      </w:r>
      <w:r w:rsidR="00A03D12">
        <w:t>TGV</w:t>
      </w:r>
      <w:r w:rsidR="003E01F5">
        <w:t xml:space="preserve"> d</w:t>
      </w:r>
      <w:r w:rsidR="003A332A">
        <w:t>oes allow for viable modal shift to take place.</w:t>
      </w:r>
    </w:p>
    <w:p w14:paraId="74BA4ECF" w14:textId="02C42820" w:rsidR="000D107B" w:rsidRDefault="000D107B" w:rsidP="003B3A44">
      <w:pPr>
        <w:pStyle w:val="BodyTextNumbered"/>
      </w:pPr>
      <w:r>
        <w:t xml:space="preserve">Given that the DfT’s own scenario projections for cycling </w:t>
      </w:r>
      <w:r w:rsidR="003E01F5">
        <w:t>reveal</w:t>
      </w:r>
      <w:r>
        <w:t xml:space="preserve"> a mode share of anything up to 19% for cyclists, and past precedent </w:t>
      </w:r>
      <w:r w:rsidR="003E01F5">
        <w:t>for</w:t>
      </w:r>
      <w:r>
        <w:t xml:space="preserve"> bus </w:t>
      </w:r>
      <w:r w:rsidR="003E01F5">
        <w:t xml:space="preserve">enhancements of the kind proposed demonstrate </w:t>
      </w:r>
      <w:r>
        <w:t xml:space="preserve">a mode share of 9-15% is achievable, it is reasonable to </w:t>
      </w:r>
      <w:r w:rsidR="00D17258">
        <w:t>assume</w:t>
      </w:r>
      <w:r>
        <w:t xml:space="preserve"> </w:t>
      </w:r>
      <w:r w:rsidR="00A03D12">
        <w:t>the</w:t>
      </w:r>
      <w:r w:rsidR="00D17258">
        <w:t xml:space="preserve"> </w:t>
      </w:r>
      <w:r>
        <w:t xml:space="preserve">modal shift of </w:t>
      </w:r>
      <w:r w:rsidR="00AC518C">
        <w:t xml:space="preserve">10% </w:t>
      </w:r>
      <w:r>
        <w:t>by SWECO in the strategic modelling</w:t>
      </w:r>
      <w:r w:rsidR="00AC518C">
        <w:t xml:space="preserve"> is robust, </w:t>
      </w:r>
      <w:r w:rsidR="00A03D12">
        <w:t xml:space="preserve">and </w:t>
      </w:r>
      <w:r w:rsidR="00AC518C">
        <w:t xml:space="preserve">with </w:t>
      </w:r>
      <w:r w:rsidR="00A03D12">
        <w:t>the</w:t>
      </w:r>
      <w:r w:rsidR="00AC518C">
        <w:t xml:space="preserve"> potential to go further.</w:t>
      </w:r>
      <w:r w:rsidR="00D17258" w:rsidRPr="00D17258">
        <w:t xml:space="preserve"> </w:t>
      </w:r>
    </w:p>
    <w:p w14:paraId="0994BE08" w14:textId="2CA43A1A" w:rsidR="00AC518C" w:rsidRDefault="00AC518C" w:rsidP="003604B5">
      <w:pPr>
        <w:pStyle w:val="Heading3"/>
      </w:pPr>
      <w:r>
        <w:t>Traffic Impacts in Tonbridge</w:t>
      </w:r>
    </w:p>
    <w:p w14:paraId="30D961DA" w14:textId="6BEC658B" w:rsidR="00087B33" w:rsidRDefault="00F85A72" w:rsidP="00AF6727">
      <w:pPr>
        <w:pStyle w:val="BodyTextNumbered"/>
      </w:pPr>
      <w:r>
        <w:t xml:space="preserve">It is important to note that </w:t>
      </w:r>
      <w:r w:rsidR="007912E1">
        <w:t xml:space="preserve">the capacity of the junctions within </w:t>
      </w:r>
      <w:r w:rsidR="00087B33">
        <w:t>Tonbridge</w:t>
      </w:r>
      <w:r w:rsidR="007912E1">
        <w:t xml:space="preserve"> assessed by SWECO</w:t>
      </w:r>
      <w:r>
        <w:t xml:space="preserve"> in the </w:t>
      </w:r>
      <w:r w:rsidR="00AF6727">
        <w:t>Transport Assessment Addendum 2 document</w:t>
      </w:r>
      <w:r w:rsidR="00AF6727">
        <w:rPr>
          <w:rStyle w:val="FootnoteReference"/>
        </w:rPr>
        <w:footnoteReference w:id="20"/>
      </w:r>
      <w:r w:rsidR="00A03D12">
        <w:t xml:space="preserve"> </w:t>
      </w:r>
      <w:r>
        <w:t xml:space="preserve">sets out the detail of those assessments </w:t>
      </w:r>
      <w:r>
        <w:rPr>
          <w:b/>
          <w:bCs/>
        </w:rPr>
        <w:t>without</w:t>
      </w:r>
      <w:r>
        <w:t xml:space="preserve"> taking into account the internalisation and localisation rates for either </w:t>
      </w:r>
      <w:r w:rsidR="00A03D12">
        <w:t>TGV</w:t>
      </w:r>
      <w:r>
        <w:t xml:space="preserve"> and Paddock Wood or other reductions in trip rates due to change</w:t>
      </w:r>
      <w:r w:rsidR="00A03D12">
        <w:t>s</w:t>
      </w:r>
      <w:r>
        <w:t xml:space="preserve"> in how people travel</w:t>
      </w:r>
      <w:r w:rsidR="00A40F89">
        <w:t xml:space="preserve">. </w:t>
      </w:r>
      <w:r w:rsidR="0021063A">
        <w:t>The Transport Assessment Addendum 2 document</w:t>
      </w:r>
      <w:r w:rsidR="0021063A" w:rsidDel="0021063A">
        <w:t xml:space="preserve"> </w:t>
      </w:r>
      <w:r w:rsidR="00AF6727">
        <w:t xml:space="preserve">was completed following discussions with KCC and National Highways (NH), who requested a sensitivity assessment of the Local Plan allocations using the TRICS database. </w:t>
      </w:r>
      <w:r w:rsidR="00087B33">
        <w:t>The sensitivity assessment explicitly states that:-</w:t>
      </w:r>
    </w:p>
    <w:p w14:paraId="4B9C9A62" w14:textId="2471B9A9" w:rsidR="00087B33" w:rsidRPr="003604B5" w:rsidRDefault="00087B33" w:rsidP="003604B5">
      <w:pPr>
        <w:pStyle w:val="FactBoxText"/>
        <w:rPr>
          <w:i/>
          <w:iCs/>
        </w:rPr>
      </w:pPr>
      <w:r w:rsidRPr="003604B5">
        <w:rPr>
          <w:i/>
          <w:iCs/>
        </w:rPr>
        <w:t>‘The trip rates also do not include adjustments for internalisation / localisation rates of the new Local Plan sites in Paddock Wood and Tudeley as well as the wider area around Paddock Wood in particular. Nor does it include reductions in trip rates due to change in how people travel</w:t>
      </w:r>
      <w:r w:rsidR="00A40F89" w:rsidRPr="00C201BE">
        <w:rPr>
          <w:rStyle w:val="FootnoteReference"/>
          <w:i/>
          <w:iCs/>
        </w:rPr>
        <w:footnoteReference w:id="21"/>
      </w:r>
      <w:r w:rsidRPr="003604B5">
        <w:rPr>
          <w:i/>
          <w:iCs/>
        </w:rPr>
        <w:t>.’</w:t>
      </w:r>
    </w:p>
    <w:p w14:paraId="7C7B438C" w14:textId="67006879" w:rsidR="00087B33" w:rsidRDefault="004474EB" w:rsidP="00087B33">
      <w:pPr>
        <w:pStyle w:val="BodyTextNumbered"/>
      </w:pPr>
      <w:r>
        <w:t>The proposed mitigation measures for the town centre junctions</w:t>
      </w:r>
      <w:r w:rsidR="00DE166E">
        <w:t>,</w:t>
      </w:r>
      <w:r>
        <w:t xml:space="preserve"> as outlined by SWECO</w:t>
      </w:r>
      <w:r w:rsidR="00DE166E">
        <w:t>,</w:t>
      </w:r>
      <w:r>
        <w:t xml:space="preserve"> focus on modal shift and traffic management in Tonbridge town centre, which are to be achieved through improvements to walking, cycling and bus</w:t>
      </w:r>
      <w:r w:rsidR="003604B5">
        <w:t xml:space="preserve"> services</w:t>
      </w:r>
      <w:r>
        <w:t xml:space="preserve">. Physical improvements to the A26 / Three Elm Lane junction have, however, been identified in the form of </w:t>
      </w:r>
      <w:r w:rsidR="00353A25">
        <w:t xml:space="preserve">a </w:t>
      </w:r>
      <w:r>
        <w:t>signal</w:t>
      </w:r>
      <w:r w:rsidR="00353A25">
        <w:t>ised</w:t>
      </w:r>
      <w:r>
        <w:t xml:space="preserve"> junction</w:t>
      </w:r>
      <w:r w:rsidR="00353A25">
        <w:t xml:space="preserve"> proposal</w:t>
      </w:r>
      <w:r>
        <w:t xml:space="preserve">. The resulting operations of the junctions identified are shown in </w:t>
      </w:r>
      <w:r w:rsidR="00130FCA" w:rsidRPr="00BA4221">
        <w:rPr>
          <w:rStyle w:val="CrossRef"/>
        </w:rPr>
        <w:fldChar w:fldCharType="begin"/>
      </w:r>
      <w:r w:rsidR="006C7586" w:rsidRPr="00BA4221">
        <w:rPr>
          <w:rStyle w:val="CrossRef"/>
        </w:rPr>
        <w:instrText xml:space="preserve"> REF _Ref132721544 \h \* CHARFORMAT </w:instrText>
      </w:r>
      <w:r w:rsidR="00130FCA" w:rsidRPr="00BA4221">
        <w:rPr>
          <w:rStyle w:val="CrossRef"/>
        </w:rPr>
      </w:r>
      <w:r w:rsidR="00130FCA" w:rsidRPr="00BA4221">
        <w:rPr>
          <w:rStyle w:val="CrossRef"/>
        </w:rPr>
        <w:fldChar w:fldCharType="separate"/>
      </w:r>
      <w:r w:rsidR="0099381E" w:rsidRPr="00BA4221">
        <w:rPr>
          <w:rStyle w:val="CrossRef"/>
        </w:rPr>
        <w:t>Figure 4.1</w:t>
      </w:r>
      <w:r w:rsidR="00130FCA" w:rsidRPr="00BA4221">
        <w:rPr>
          <w:rStyle w:val="CrossRef"/>
        </w:rPr>
        <w:fldChar w:fldCharType="end"/>
      </w:r>
      <w:r w:rsidR="00EA0C2A">
        <w:t>-</w:t>
      </w:r>
      <w:r w:rsidR="003604B5">
        <w:t xml:space="preserve"> and are</w:t>
      </w:r>
      <w:r w:rsidR="00EA0C2A">
        <w:t xml:space="preserve"> the ‘worst performance’ estimates</w:t>
      </w:r>
      <w:r w:rsidR="003604B5">
        <w:t>.</w:t>
      </w:r>
    </w:p>
    <w:p w14:paraId="3A3A58FE" w14:textId="4CEDE3EE" w:rsidR="004474EB" w:rsidRDefault="004474EB" w:rsidP="00DE32BD">
      <w:pPr>
        <w:pStyle w:val="Caption"/>
      </w:pPr>
      <w:bookmarkStart w:id="6" w:name="_Ref132721544"/>
      <w:r>
        <w:lastRenderedPageBreak/>
        <w:t xml:space="preserve">Figure </w:t>
      </w:r>
      <w:r>
        <w:rPr>
          <w:noProof/>
        </w:rPr>
        <w:fldChar w:fldCharType="begin"/>
      </w:r>
      <w:r>
        <w:rPr>
          <w:noProof/>
        </w:rPr>
        <w:instrText xml:space="preserve"> STYLEREF 1 \s </w:instrText>
      </w:r>
      <w:r>
        <w:rPr>
          <w:noProof/>
        </w:rPr>
        <w:fldChar w:fldCharType="separate"/>
      </w:r>
      <w:r w:rsidR="0099381E">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99381E">
        <w:rPr>
          <w:noProof/>
        </w:rPr>
        <w:t>1</w:t>
      </w:r>
      <w:r>
        <w:rPr>
          <w:noProof/>
        </w:rPr>
        <w:fldChar w:fldCharType="end"/>
      </w:r>
      <w:bookmarkEnd w:id="6"/>
      <w:r>
        <w:tab/>
        <w:t>Tonbridge Town Centre – Local Plan Capacity Assessment</w:t>
      </w:r>
      <w:r w:rsidR="00A40F89">
        <w:rPr>
          <w:rStyle w:val="FootnoteReference"/>
        </w:rPr>
        <w:footnoteReference w:id="22"/>
      </w:r>
      <w:r>
        <w:t xml:space="preserve"> </w:t>
      </w:r>
    </w:p>
    <w:p w14:paraId="6B74CA0F" w14:textId="0E97CAF2" w:rsidR="004474EB" w:rsidRDefault="004474EB" w:rsidP="00DE32BD">
      <w:pPr>
        <w:pStyle w:val="Indent"/>
      </w:pPr>
      <w:r>
        <w:rPr>
          <w:noProof/>
        </w:rPr>
        <w:drawing>
          <wp:inline distT="0" distB="0" distL="0" distR="0" wp14:anchorId="4E6AF66E" wp14:editId="157E9249">
            <wp:extent cx="5219700" cy="2613881"/>
            <wp:effectExtent l="0" t="0" r="0" b="0"/>
            <wp:docPr id="83845655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56550" name="Picture 1" descr="Table&#10;&#10;Description automatically generated"/>
                    <pic:cNvPicPr/>
                  </pic:nvPicPr>
                  <pic:blipFill>
                    <a:blip r:embed="rId15"/>
                    <a:stretch>
                      <a:fillRect/>
                    </a:stretch>
                  </pic:blipFill>
                  <pic:spPr>
                    <a:xfrm>
                      <a:off x="0" y="0"/>
                      <a:ext cx="5228327" cy="2618201"/>
                    </a:xfrm>
                    <a:prstGeom prst="rect">
                      <a:avLst/>
                    </a:prstGeom>
                  </pic:spPr>
                </pic:pic>
              </a:graphicData>
            </a:graphic>
          </wp:inline>
        </w:drawing>
      </w:r>
    </w:p>
    <w:p w14:paraId="7A788DB8" w14:textId="2746D646" w:rsidR="004474EB" w:rsidRDefault="004474EB" w:rsidP="00DE32BD">
      <w:pPr>
        <w:pStyle w:val="FigureSource"/>
      </w:pPr>
      <w:r w:rsidRPr="00A65225">
        <w:t xml:space="preserve">Source: </w:t>
      </w:r>
      <w:r>
        <w:t>SWECO</w:t>
      </w:r>
    </w:p>
    <w:p w14:paraId="37B9B2BC" w14:textId="3247F7E5" w:rsidR="004474EB" w:rsidRDefault="00EA0C2A" w:rsidP="00087B33">
      <w:pPr>
        <w:pStyle w:val="BodyTextNumbered"/>
      </w:pPr>
      <w:r>
        <w:t xml:space="preserve"> Using these to provide an average level of junction performance across the </w:t>
      </w:r>
      <w:r w:rsidR="003604B5">
        <w:t>corridor</w:t>
      </w:r>
      <w:r w:rsidR="00F232E1">
        <w:t xml:space="preserve">, </w:t>
      </w:r>
      <w:r>
        <w:t xml:space="preserve">a comparison between the various scenarios is </w:t>
      </w:r>
      <w:r w:rsidR="00D115A1">
        <w:t>as shown below</w:t>
      </w:r>
      <w:r w:rsidR="0002163F">
        <w:t>:-</w:t>
      </w:r>
    </w:p>
    <w:p w14:paraId="08B29B83" w14:textId="1837ACC0" w:rsidR="0002163F" w:rsidRDefault="0002163F" w:rsidP="0002163F">
      <w:pPr>
        <w:pStyle w:val="ListBullet"/>
      </w:pPr>
      <w:r w:rsidRPr="0002163F">
        <w:rPr>
          <w:b/>
          <w:bCs/>
        </w:rPr>
        <w:t>Reference Case (RC)</w:t>
      </w:r>
      <w:r>
        <w:t xml:space="preserve"> = </w:t>
      </w:r>
      <w:r w:rsidR="00AC518C">
        <w:t>91%</w:t>
      </w:r>
      <w:r>
        <w:t xml:space="preserve">; </w:t>
      </w:r>
    </w:p>
    <w:p w14:paraId="3A0D1337" w14:textId="53A2F21D" w:rsidR="0002163F" w:rsidRDefault="0002163F" w:rsidP="0002163F">
      <w:pPr>
        <w:pStyle w:val="ListBullet"/>
      </w:pPr>
      <w:r w:rsidRPr="0002163F">
        <w:rPr>
          <w:b/>
          <w:bCs/>
        </w:rPr>
        <w:t>Local Plan (LP)</w:t>
      </w:r>
      <w:r>
        <w:t xml:space="preserve"> = </w:t>
      </w:r>
      <w:r w:rsidR="00AC518C">
        <w:t>95%</w:t>
      </w:r>
      <w:r>
        <w:t>;</w:t>
      </w:r>
    </w:p>
    <w:p w14:paraId="5C6CD15B" w14:textId="250A6DD2" w:rsidR="0002163F" w:rsidRDefault="0002163F" w:rsidP="0002163F">
      <w:pPr>
        <w:pStyle w:val="ListBullet"/>
      </w:pPr>
      <w:r w:rsidRPr="0002163F">
        <w:rPr>
          <w:b/>
          <w:bCs/>
        </w:rPr>
        <w:t>Local Plan Highways (LPH)</w:t>
      </w:r>
      <w:r>
        <w:t xml:space="preserve"> = </w:t>
      </w:r>
      <w:r w:rsidR="00AC518C">
        <w:t>93%</w:t>
      </w:r>
      <w:r>
        <w:t>; and</w:t>
      </w:r>
    </w:p>
    <w:p w14:paraId="3035D802" w14:textId="5C508E1A" w:rsidR="0002163F" w:rsidRDefault="0002163F" w:rsidP="0002163F">
      <w:pPr>
        <w:pStyle w:val="ListBullet"/>
      </w:pPr>
      <w:r w:rsidRPr="0002163F">
        <w:rPr>
          <w:b/>
          <w:bCs/>
        </w:rPr>
        <w:t>Mitigation Scenario (MS)</w:t>
      </w:r>
      <w:r>
        <w:t xml:space="preserve"> = </w:t>
      </w:r>
      <w:r w:rsidR="00AC518C">
        <w:t>88%</w:t>
      </w:r>
      <w:r>
        <w:t>.</w:t>
      </w:r>
    </w:p>
    <w:p w14:paraId="57217931" w14:textId="5DAA3845" w:rsidR="0002163F" w:rsidRDefault="0002163F" w:rsidP="0002163F">
      <w:pPr>
        <w:pStyle w:val="BodyTextNumbered"/>
      </w:pPr>
      <w:r>
        <w:t xml:space="preserve">Assuming no interventions </w:t>
      </w:r>
      <w:r w:rsidR="00F85A72">
        <w:t xml:space="preserve">are delivered </w:t>
      </w:r>
      <w:r>
        <w:t xml:space="preserve">(the difference between the RC and LP scenario) </w:t>
      </w:r>
      <w:r w:rsidR="00F85A72">
        <w:t xml:space="preserve">there would be a </w:t>
      </w:r>
      <w:r>
        <w:t xml:space="preserve">total change of </w:t>
      </w:r>
      <w:r w:rsidR="00F85A72">
        <w:t xml:space="preserve">only </w:t>
      </w:r>
      <w:r w:rsidR="00AC518C">
        <w:t>+4%</w:t>
      </w:r>
      <w:r>
        <w:t xml:space="preserve"> with respect to the volume / capacity</w:t>
      </w:r>
      <w:r w:rsidR="00D115A1">
        <w:t xml:space="preserve"> ratios of these junctions</w:t>
      </w:r>
      <w:r>
        <w:t xml:space="preserve">. On completion of wider mitigation measures, cumulatively, the junctions under assessment </w:t>
      </w:r>
      <w:r w:rsidR="00F85A72">
        <w:t xml:space="preserve">will in fact be improved, with a resulting </w:t>
      </w:r>
      <w:r>
        <w:t>lower volume / capacity figure</w:t>
      </w:r>
      <w:r w:rsidR="00F85A72">
        <w:t xml:space="preserve"> </w:t>
      </w:r>
      <w:r>
        <w:t>than the RC (</w:t>
      </w:r>
      <w:r w:rsidR="00AC518C">
        <w:t>88%</w:t>
      </w:r>
      <w:r>
        <w:t xml:space="preserve"> compared to </w:t>
      </w:r>
      <w:r w:rsidR="00AC518C">
        <w:t>91%</w:t>
      </w:r>
      <w:r>
        <w:t>). The mitigation measures</w:t>
      </w:r>
      <w:r w:rsidR="00DE166E">
        <w:t xml:space="preserve"> </w:t>
      </w:r>
      <w:r>
        <w:t>primarily stem from modal shift and traffic management schemes</w:t>
      </w:r>
      <w:r w:rsidR="00F85A72">
        <w:t xml:space="preserve"> rather than internalisation and other reductions that are outlined above.</w:t>
      </w:r>
      <w:r w:rsidR="00370F1C">
        <w:t xml:space="preserve"> Based on the above, </w:t>
      </w:r>
      <w:r w:rsidR="00F85A72">
        <w:t xml:space="preserve">and without the effects of internalisation considered, </w:t>
      </w:r>
      <w:r w:rsidR="00AC518C">
        <w:t xml:space="preserve">it is </w:t>
      </w:r>
      <w:r w:rsidR="00630F3C">
        <w:t xml:space="preserve"> reasonable to state that </w:t>
      </w:r>
      <w:r w:rsidR="00AC518C">
        <w:t>the</w:t>
      </w:r>
      <w:r w:rsidR="00370F1C">
        <w:t xml:space="preserve"> </w:t>
      </w:r>
      <w:r w:rsidR="00AC518C">
        <w:t>impacts cannot be considered as ‘severe’</w:t>
      </w:r>
      <w:r w:rsidR="00047216">
        <w:t xml:space="preserve">. </w:t>
      </w:r>
    </w:p>
    <w:p w14:paraId="42C71AF3" w14:textId="6AE70F2D" w:rsidR="00370F1C" w:rsidRDefault="00047216" w:rsidP="00087B33">
      <w:pPr>
        <w:pStyle w:val="BodyTextNumbered"/>
      </w:pPr>
      <w:r>
        <w:t>W</w:t>
      </w:r>
      <w:r w:rsidR="0006357B">
        <w:t>hen considering the test of severity</w:t>
      </w:r>
      <w:r>
        <w:t xml:space="preserve"> in the Framework, </w:t>
      </w:r>
      <w:r w:rsidR="0006357B">
        <w:t xml:space="preserve">several appeal decisions </w:t>
      </w:r>
      <w:r>
        <w:t xml:space="preserve">confirm that </w:t>
      </w:r>
      <w:r w:rsidR="0006357B">
        <w:t>sever</w:t>
      </w:r>
      <w:r w:rsidR="0046204D">
        <w:t>ity</w:t>
      </w:r>
      <w:r w:rsidR="0006357B">
        <w:t xml:space="preserve"> </w:t>
      </w:r>
      <w:r>
        <w:t>is</w:t>
      </w:r>
      <w:r w:rsidR="0006357B">
        <w:t xml:space="preserve"> a ‘high bar’ or ‘high threshold’ for intervention and that congestion and inconvenience alone are not sufficient to trigger the ‘severe’ test, which needs to be related to the consequences of congestion</w:t>
      </w:r>
      <w:r w:rsidR="0006357B" w:rsidRPr="0006357B">
        <w:rPr>
          <w:rStyle w:val="FootnoteReference"/>
        </w:rPr>
        <w:footnoteReference w:id="23"/>
      </w:r>
      <w:r w:rsidR="0006357B" w:rsidRPr="0006357B">
        <w:rPr>
          <w:vertAlign w:val="superscript"/>
        </w:rPr>
        <w:t>,</w:t>
      </w:r>
      <w:r w:rsidR="0006357B">
        <w:rPr>
          <w:rStyle w:val="FootnoteReference"/>
        </w:rPr>
        <w:footnoteReference w:id="24"/>
      </w:r>
      <w:r w:rsidR="0006357B">
        <w:t xml:space="preserve">. </w:t>
      </w:r>
      <w:r w:rsidR="0046204D">
        <w:t>Currently</w:t>
      </w:r>
      <w:r w:rsidR="00DE166E">
        <w:t>,</w:t>
      </w:r>
      <w:r w:rsidR="0046204D">
        <w:t xml:space="preserve"> t</w:t>
      </w:r>
      <w:r w:rsidR="009571CF">
        <w:t>he</w:t>
      </w:r>
      <w:r w:rsidR="00DE166E">
        <w:t xml:space="preserve"> </w:t>
      </w:r>
      <w:r w:rsidR="009571CF">
        <w:t xml:space="preserve">evidence base </w:t>
      </w:r>
      <w:r w:rsidR="0046204D">
        <w:t>presents only</w:t>
      </w:r>
      <w:r>
        <w:t xml:space="preserve"> </w:t>
      </w:r>
      <w:r w:rsidR="0006357B">
        <w:t>the capacity assessment</w:t>
      </w:r>
      <w:r w:rsidR="009571CF">
        <w:t xml:space="preserve"> of these junctions</w:t>
      </w:r>
      <w:r w:rsidR="0006357B">
        <w:t xml:space="preserve">, </w:t>
      </w:r>
      <w:r w:rsidR="00370F1C">
        <w:t xml:space="preserve">with no greater detail regarding the potential </w:t>
      </w:r>
      <w:r w:rsidR="00370F1C">
        <w:lastRenderedPageBreak/>
        <w:t>implications of the modelling. Without such analysis, it is not considered that the information presented is sufficient to conclude that the severity test has been met at these locations.</w:t>
      </w:r>
    </w:p>
    <w:p w14:paraId="1A643B1D" w14:textId="6333C4B4" w:rsidR="00130FCA" w:rsidRDefault="002B3145" w:rsidP="00130FCA">
      <w:pPr>
        <w:pStyle w:val="BodyTextNumbered"/>
      </w:pPr>
      <w:r>
        <w:t xml:space="preserve"> </w:t>
      </w:r>
      <w:r w:rsidR="0046204D">
        <w:t xml:space="preserve">Additionally, as already noted, </w:t>
      </w:r>
      <w:r>
        <w:t xml:space="preserve">the above results </w:t>
      </w:r>
      <w:r w:rsidRPr="00B068D2">
        <w:rPr>
          <w:u w:val="single"/>
        </w:rPr>
        <w:t>do not</w:t>
      </w:r>
      <w:r>
        <w:t xml:space="preserve"> account for the levels of trip internalisation </w:t>
      </w:r>
      <w:r w:rsidR="00047216">
        <w:t>that form</w:t>
      </w:r>
      <w:r>
        <w:t xml:space="preserve"> part of the Local Plan evidence base, which has been </w:t>
      </w:r>
      <w:r w:rsidR="00D115A1">
        <w:t>discussed</w:t>
      </w:r>
      <w:r>
        <w:t xml:space="preserve"> above</w:t>
      </w:r>
      <w:r w:rsidR="000D5CFF">
        <w:t xml:space="preserve">. </w:t>
      </w:r>
      <w:r w:rsidR="00047216">
        <w:t xml:space="preserve">In addition, that </w:t>
      </w:r>
      <w:r w:rsidR="006E2A56">
        <w:t xml:space="preserve">evidence base and associated modelling also assume the full development of </w:t>
      </w:r>
      <w:r w:rsidR="00DE166E">
        <w:t>TGV</w:t>
      </w:r>
      <w:r w:rsidR="006E2A56">
        <w:t xml:space="preserve"> by the end of Local Plan period. </w:t>
      </w:r>
      <w:r>
        <w:t xml:space="preserve">Therefore, the impacts presented offer a ‘worst case’ assessment of </w:t>
      </w:r>
      <w:r w:rsidR="00370F1C">
        <w:t xml:space="preserve">the proposals at </w:t>
      </w:r>
      <w:r w:rsidR="00DE166E">
        <w:t>TGV</w:t>
      </w:r>
      <w:r w:rsidR="0007763B">
        <w:t>, going beyond the plan period</w:t>
      </w:r>
      <w:r w:rsidR="00047216">
        <w:t xml:space="preserve"> </w:t>
      </w:r>
      <w:r w:rsidR="00DE166E">
        <w:t xml:space="preserve">and </w:t>
      </w:r>
      <w:r w:rsidR="00047216">
        <w:t xml:space="preserve">without the </w:t>
      </w:r>
      <w:r w:rsidR="00DE166E">
        <w:t xml:space="preserve">beneficial </w:t>
      </w:r>
      <w:r w:rsidR="00047216">
        <w:t>effects of internalisation.</w:t>
      </w:r>
    </w:p>
    <w:p w14:paraId="34EA8086" w14:textId="1AD5D1AE" w:rsidR="002B3145" w:rsidRPr="00B068D2" w:rsidRDefault="00047216" w:rsidP="00087B33">
      <w:pPr>
        <w:pStyle w:val="BodyTextNumbered"/>
        <w:rPr>
          <w:b/>
          <w:bCs/>
        </w:rPr>
      </w:pPr>
      <w:r>
        <w:t xml:space="preserve">In addition, although </w:t>
      </w:r>
      <w:r w:rsidR="002B3145">
        <w:t xml:space="preserve">the Local Plan evidence base </w:t>
      </w:r>
      <w:r w:rsidR="00F40AC5">
        <w:t xml:space="preserve">does not yet </w:t>
      </w:r>
      <w:r>
        <w:t xml:space="preserve">set out </w:t>
      </w:r>
      <w:r w:rsidR="00F40AC5">
        <w:t xml:space="preserve">specific </w:t>
      </w:r>
      <w:r w:rsidR="00130FCA">
        <w:t>physical mitigation measures</w:t>
      </w:r>
      <w:r w:rsidR="00F40AC5">
        <w:t xml:space="preserve"> in this specific area</w:t>
      </w:r>
      <w:r w:rsidR="00130FCA">
        <w:t xml:space="preserve">, </w:t>
      </w:r>
      <w:r w:rsidR="00F40AC5">
        <w:t xml:space="preserve">the proposed corridor study will be able to identify a preferred set of improvements that balance traffic capacity and provision for other modes. </w:t>
      </w:r>
      <w:r>
        <w:t xml:space="preserve">Although </w:t>
      </w:r>
      <w:r w:rsidR="00F40AC5">
        <w:t xml:space="preserve">physical </w:t>
      </w:r>
      <w:r w:rsidR="00130FCA">
        <w:t>space may be constrained</w:t>
      </w:r>
      <w:r w:rsidR="00F40AC5">
        <w:t xml:space="preserve"> along the corridor</w:t>
      </w:r>
      <w:r w:rsidR="00130FCA">
        <w:t xml:space="preserve">, </w:t>
      </w:r>
      <w:r w:rsidR="0046204D">
        <w:t xml:space="preserve"> experience indicates that there are </w:t>
      </w:r>
      <w:r w:rsidR="00F40AC5">
        <w:t xml:space="preserve">a range of improvements </w:t>
      </w:r>
      <w:r w:rsidR="002F774C">
        <w:t xml:space="preserve">(such as signals) </w:t>
      </w:r>
      <w:r w:rsidR="00F40AC5">
        <w:t xml:space="preserve">that can </w:t>
      </w:r>
      <w:r w:rsidR="002F774C">
        <w:t>be considered</w:t>
      </w:r>
      <w:r w:rsidR="00A73CD2">
        <w:t xml:space="preserve"> in these circumstances</w:t>
      </w:r>
      <w:r w:rsidR="0006357B">
        <w:t xml:space="preserve">. </w:t>
      </w:r>
      <w:r w:rsidR="00A73CD2">
        <w:t xml:space="preserve"> </w:t>
      </w:r>
      <w:r w:rsidR="00A73CD2" w:rsidRPr="00B068D2">
        <w:rPr>
          <w:b/>
          <w:bCs/>
        </w:rPr>
        <w:t xml:space="preserve">Given this potential and the likelihood of a relatively low level of traffic impact as noted above, it </w:t>
      </w:r>
      <w:r w:rsidR="0046204D">
        <w:rPr>
          <w:b/>
          <w:bCs/>
        </w:rPr>
        <w:t>appears likely that</w:t>
      </w:r>
      <w:r w:rsidRPr="00B068D2">
        <w:rPr>
          <w:b/>
          <w:bCs/>
        </w:rPr>
        <w:t xml:space="preserve"> </w:t>
      </w:r>
      <w:r w:rsidR="00A73CD2" w:rsidRPr="00B068D2">
        <w:rPr>
          <w:b/>
          <w:bCs/>
        </w:rPr>
        <w:t xml:space="preserve">the mitigated impact on Tonbridge town centre will not be severe. </w:t>
      </w:r>
    </w:p>
    <w:p w14:paraId="17D2ED9D" w14:textId="77777777" w:rsidR="00593C6F" w:rsidRDefault="00593C6F">
      <w:pPr>
        <w:rPr>
          <w:rFonts w:asciiTheme="majorHAnsi" w:eastAsiaTheme="majorEastAsia" w:hAnsiTheme="majorHAnsi" w:cstheme="majorBidi"/>
          <w:b/>
          <w:color w:val="1B5294" w:themeColor="accent1"/>
          <w:sz w:val="36"/>
          <w:szCs w:val="32"/>
        </w:rPr>
      </w:pPr>
      <w:r>
        <w:br w:type="page"/>
      </w:r>
    </w:p>
    <w:p w14:paraId="5DB11528" w14:textId="5016DAC1" w:rsidR="00993CCD" w:rsidRDefault="00993CCD" w:rsidP="003604B5">
      <w:pPr>
        <w:pStyle w:val="Heading1"/>
      </w:pPr>
      <w:r>
        <w:lastRenderedPageBreak/>
        <w:t>Five Oak Green Bypass</w:t>
      </w:r>
    </w:p>
    <w:p w14:paraId="0053E6CB" w14:textId="15425EF3" w:rsidR="00993CCD" w:rsidRPr="00993CCD" w:rsidRDefault="00993CCD" w:rsidP="00993CCD">
      <w:pPr>
        <w:pStyle w:val="BodyTextNumbered"/>
      </w:pPr>
      <w:r>
        <w:t xml:space="preserve">As part of the Local Plan evidence base in support of </w:t>
      </w:r>
      <w:r w:rsidR="00DE166E">
        <w:t>TGV</w:t>
      </w:r>
      <w:r>
        <w:t xml:space="preserve">, the development of the Five Oak Green Bypass </w:t>
      </w:r>
      <w:r w:rsidR="00696A23">
        <w:t xml:space="preserve">has been </w:t>
      </w:r>
      <w:r w:rsidR="00ED78D7">
        <w:t xml:space="preserve">identified </w:t>
      </w:r>
      <w:r w:rsidR="00696A23">
        <w:t xml:space="preserve">as a requirement to offer mitigation for vehicles travelling eastwards from the site along the B2017. With respect to this provision, the Inspector raised several concerns, which include the proximity of the proposed roundabout junction to the Capel Primary School, the visual intrusion of the bypass and the associated funding, phasing and deliverability of the road. </w:t>
      </w:r>
    </w:p>
    <w:p w14:paraId="66709E10" w14:textId="3992984E" w:rsidR="000D5CFF" w:rsidRDefault="00696A23" w:rsidP="000D5CFF">
      <w:pPr>
        <w:pStyle w:val="BodyTextNumbered"/>
      </w:pPr>
      <w:r>
        <w:t xml:space="preserve">As part of the Local Plan evidence base, the bypass </w:t>
      </w:r>
      <w:r w:rsidR="002D2EF6">
        <w:t>is seen to be</w:t>
      </w:r>
      <w:r>
        <w:t xml:space="preserve"> associated with the impacts of </w:t>
      </w:r>
      <w:r w:rsidR="00DE166E">
        <w:t>TGV</w:t>
      </w:r>
      <w:r>
        <w:t xml:space="preserve">, with David Lock Associates highlighting this as part of the </w:t>
      </w:r>
      <w:r w:rsidR="00370F1C">
        <w:t xml:space="preserve">Strategic Sites </w:t>
      </w:r>
      <w:proofErr w:type="spellStart"/>
      <w:r w:rsidR="00370F1C">
        <w:t>Masterplanning</w:t>
      </w:r>
      <w:proofErr w:type="spellEnd"/>
      <w:r w:rsidR="00370F1C">
        <w:t xml:space="preserve"> and Infrastructure Study</w:t>
      </w:r>
      <w:r w:rsidR="00370F1C">
        <w:rPr>
          <w:rStyle w:val="FootnoteReference"/>
        </w:rPr>
        <w:footnoteReference w:id="25"/>
      </w:r>
      <w:r>
        <w:t xml:space="preserve">. However, within the evidence base submitted to date, </w:t>
      </w:r>
      <w:r w:rsidR="002D2EF6">
        <w:t xml:space="preserve">by SWECO, Stantec and WSP, it is </w:t>
      </w:r>
      <w:r w:rsidR="00DE166E">
        <w:t xml:space="preserve">noted </w:t>
      </w:r>
      <w:r w:rsidR="002D2EF6">
        <w:t xml:space="preserve">that the bypass should be considered as a shared responsibility, between both </w:t>
      </w:r>
      <w:r w:rsidR="00DE166E">
        <w:t xml:space="preserve">TGV </w:t>
      </w:r>
      <w:r w:rsidR="002D2EF6">
        <w:t xml:space="preserve">and </w:t>
      </w:r>
      <w:r w:rsidR="00DE166E">
        <w:t xml:space="preserve">the </w:t>
      </w:r>
      <w:r w:rsidR="002D2EF6">
        <w:t>Paddock Wood</w:t>
      </w:r>
      <w:r w:rsidR="00DE166E">
        <w:t xml:space="preserve"> sites</w:t>
      </w:r>
      <w:r w:rsidR="002D2EF6">
        <w:t>.</w:t>
      </w:r>
    </w:p>
    <w:p w14:paraId="3057717C" w14:textId="7B6D0A57" w:rsidR="000D5CFF" w:rsidRDefault="000D5CFF" w:rsidP="00052135">
      <w:pPr>
        <w:pStyle w:val="BodyTextNumbered"/>
      </w:pPr>
      <w:r>
        <w:t>The evidence</w:t>
      </w:r>
      <w:r w:rsidR="00047216">
        <w:t xml:space="preserve"> </w:t>
      </w:r>
      <w:r>
        <w:t xml:space="preserve">presented with respect to trip distribution confirms this </w:t>
      </w:r>
      <w:r w:rsidR="00047216">
        <w:t xml:space="preserve">in respect </w:t>
      </w:r>
      <w:r w:rsidR="004C32F6">
        <w:t xml:space="preserve">of </w:t>
      </w:r>
      <w:r w:rsidR="00DE166E">
        <w:t xml:space="preserve">the </w:t>
      </w:r>
      <w:r>
        <w:t>Paddock Wood</w:t>
      </w:r>
      <w:r w:rsidR="00DE166E">
        <w:t xml:space="preserve"> sites</w:t>
      </w:r>
      <w:r>
        <w:t>. SWECO provide</w:t>
      </w:r>
      <w:r w:rsidR="00052135">
        <w:t>d</w:t>
      </w:r>
      <w:r>
        <w:t xml:space="preserve"> an indicative trip distribution diagram, which is shown in </w:t>
      </w:r>
      <w:r w:rsidRPr="00BA4221">
        <w:rPr>
          <w:rStyle w:val="CrossRef"/>
        </w:rPr>
        <w:fldChar w:fldCharType="begin"/>
      </w:r>
      <w:r w:rsidR="006C7586" w:rsidRPr="00BA4221">
        <w:rPr>
          <w:rStyle w:val="CrossRef"/>
        </w:rPr>
        <w:instrText xml:space="preserve"> REF _Ref132723966 \h \* CHARFORMAT </w:instrText>
      </w:r>
      <w:r w:rsidRPr="00BA4221">
        <w:rPr>
          <w:rStyle w:val="CrossRef"/>
        </w:rPr>
      </w:r>
      <w:r w:rsidRPr="00BA4221">
        <w:rPr>
          <w:rStyle w:val="CrossRef"/>
        </w:rPr>
        <w:fldChar w:fldCharType="separate"/>
      </w:r>
      <w:r w:rsidR="0099381E" w:rsidRPr="00BA4221">
        <w:rPr>
          <w:rStyle w:val="CrossRef"/>
        </w:rPr>
        <w:t>Figure 5.1</w:t>
      </w:r>
      <w:r w:rsidRPr="00BA4221">
        <w:rPr>
          <w:rStyle w:val="CrossRef"/>
        </w:rPr>
        <w:fldChar w:fldCharType="end"/>
      </w:r>
      <w:r>
        <w:t xml:space="preserve"> below, which highlights 1,000 trips travelling towards Tonbridge from both </w:t>
      </w:r>
      <w:r w:rsidR="00DE166E">
        <w:t xml:space="preserve">TGV </w:t>
      </w:r>
      <w:r>
        <w:t>and Paddock Wood collectively</w:t>
      </w:r>
      <w:r w:rsidR="00D115A1">
        <w:t xml:space="preserve"> – based on the diagram </w:t>
      </w:r>
      <w:r w:rsidR="00052135">
        <w:t xml:space="preserve">provided </w:t>
      </w:r>
      <w:r w:rsidR="00D115A1">
        <w:t xml:space="preserve">there </w:t>
      </w:r>
      <w:r w:rsidR="00052135">
        <w:t xml:space="preserve">is a higher level </w:t>
      </w:r>
      <w:r w:rsidR="00D115A1">
        <w:t xml:space="preserve">flow from Paddock Wood than </w:t>
      </w:r>
      <w:r w:rsidR="00DE166E">
        <w:t>from Tudeley</w:t>
      </w:r>
      <w:r>
        <w:t xml:space="preserve">. </w:t>
      </w:r>
    </w:p>
    <w:p w14:paraId="28A28A14" w14:textId="019A7B81" w:rsidR="000D5CFF" w:rsidRDefault="000D5CFF" w:rsidP="00DE32BD">
      <w:pPr>
        <w:pStyle w:val="Caption"/>
      </w:pPr>
      <w:bookmarkStart w:id="7" w:name="_Ref132723966"/>
      <w:r>
        <w:lastRenderedPageBreak/>
        <w:t xml:space="preserve">Figure </w:t>
      </w:r>
      <w:r>
        <w:rPr>
          <w:noProof/>
        </w:rPr>
        <w:fldChar w:fldCharType="begin"/>
      </w:r>
      <w:r>
        <w:rPr>
          <w:noProof/>
        </w:rPr>
        <w:instrText xml:space="preserve"> STYLEREF 1 \s </w:instrText>
      </w:r>
      <w:r>
        <w:rPr>
          <w:noProof/>
        </w:rPr>
        <w:fldChar w:fldCharType="separate"/>
      </w:r>
      <w:r w:rsidR="0099381E">
        <w:rPr>
          <w:noProof/>
        </w:rPr>
        <w:t>5</w:t>
      </w:r>
      <w:r>
        <w:rPr>
          <w:noProof/>
        </w:rPr>
        <w:fldChar w:fldCharType="end"/>
      </w:r>
      <w:r>
        <w:t>.</w:t>
      </w:r>
      <w:r>
        <w:rPr>
          <w:noProof/>
        </w:rPr>
        <w:fldChar w:fldCharType="begin"/>
      </w:r>
      <w:r>
        <w:rPr>
          <w:noProof/>
        </w:rPr>
        <w:instrText xml:space="preserve"> SEQ Figure \* ARABIC \s 1 </w:instrText>
      </w:r>
      <w:r>
        <w:rPr>
          <w:noProof/>
        </w:rPr>
        <w:fldChar w:fldCharType="separate"/>
      </w:r>
      <w:r w:rsidR="0099381E">
        <w:rPr>
          <w:noProof/>
        </w:rPr>
        <w:t>1</w:t>
      </w:r>
      <w:r>
        <w:rPr>
          <w:noProof/>
        </w:rPr>
        <w:fldChar w:fldCharType="end"/>
      </w:r>
      <w:bookmarkEnd w:id="7"/>
      <w:r>
        <w:tab/>
        <w:t>SWECO Trip Distribution</w:t>
      </w:r>
      <w:r w:rsidR="00686AD6" w:rsidRPr="00686AD6">
        <w:rPr>
          <w:rStyle w:val="FootnoteReference"/>
        </w:rPr>
        <w:footnoteReference w:id="26"/>
      </w:r>
      <w:r w:rsidR="00686AD6" w:rsidRPr="00686AD6">
        <w:rPr>
          <w:vertAlign w:val="superscript"/>
        </w:rPr>
        <w:t>,</w:t>
      </w:r>
      <w:r w:rsidR="00686AD6" w:rsidRPr="00686AD6">
        <w:rPr>
          <w:rStyle w:val="FootnoteReference"/>
        </w:rPr>
        <w:footnoteReference w:id="27"/>
      </w:r>
      <w:r w:rsidRPr="00686AD6">
        <w:rPr>
          <w:vertAlign w:val="superscript"/>
        </w:rPr>
        <w:t xml:space="preserve"> </w:t>
      </w:r>
    </w:p>
    <w:p w14:paraId="7E97F5EE" w14:textId="02F876EB" w:rsidR="000D5CFF" w:rsidRDefault="000D5CFF" w:rsidP="00DE32BD">
      <w:pPr>
        <w:pStyle w:val="Indent"/>
      </w:pPr>
      <w:r>
        <w:rPr>
          <w:noProof/>
        </w:rPr>
        <w:drawing>
          <wp:inline distT="0" distB="0" distL="0" distR="0" wp14:anchorId="4DBD1FEE" wp14:editId="2B7601FB">
            <wp:extent cx="5043199" cy="3536831"/>
            <wp:effectExtent l="0" t="0" r="5080" b="6985"/>
            <wp:docPr id="477380047" name="Picture 4773800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23991" name="Picture 1" descr="Diagram&#10;&#10;Description automatically generated"/>
                    <pic:cNvPicPr/>
                  </pic:nvPicPr>
                  <pic:blipFill>
                    <a:blip r:embed="rId16"/>
                    <a:stretch>
                      <a:fillRect/>
                    </a:stretch>
                  </pic:blipFill>
                  <pic:spPr>
                    <a:xfrm>
                      <a:off x="0" y="0"/>
                      <a:ext cx="5070264" cy="3555812"/>
                    </a:xfrm>
                    <a:prstGeom prst="rect">
                      <a:avLst/>
                    </a:prstGeom>
                  </pic:spPr>
                </pic:pic>
              </a:graphicData>
            </a:graphic>
          </wp:inline>
        </w:drawing>
      </w:r>
    </w:p>
    <w:p w14:paraId="390299DD" w14:textId="77777777" w:rsidR="003604B5" w:rsidRDefault="003604B5" w:rsidP="00DE32BD">
      <w:pPr>
        <w:pStyle w:val="Indent"/>
      </w:pPr>
    </w:p>
    <w:p w14:paraId="111726CC" w14:textId="57E128F7" w:rsidR="000D5CFF" w:rsidRDefault="00052135" w:rsidP="000D5CFF">
      <w:pPr>
        <w:pStyle w:val="BodyTextNumbered"/>
      </w:pPr>
      <w:r>
        <w:t>The</w:t>
      </w:r>
      <w:r w:rsidR="002D2EF6">
        <w:t xml:space="preserve"> evidence regarding</w:t>
      </w:r>
      <w:r w:rsidR="00015AD9">
        <w:t xml:space="preserve"> the</w:t>
      </w:r>
      <w:r w:rsidR="002D2EF6">
        <w:t xml:space="preserve"> distribution was presented by Stantec which</w:t>
      </w:r>
      <w:r w:rsidR="00D115A1">
        <w:t xml:space="preserve"> estimated </w:t>
      </w:r>
      <w:r w:rsidR="002D2EF6">
        <w:t xml:space="preserve">28% of </w:t>
      </w:r>
      <w:r w:rsidR="00D115A1">
        <w:t xml:space="preserve">vehicle </w:t>
      </w:r>
      <w:r w:rsidR="002D2EF6">
        <w:t xml:space="preserve">movements from </w:t>
      </w:r>
      <w:r w:rsidR="00DE166E">
        <w:t xml:space="preserve">TGV </w:t>
      </w:r>
      <w:r w:rsidR="002D2EF6">
        <w:t>routing eastbound along the B2017 towards Five Oak Green</w:t>
      </w:r>
      <w:r w:rsidR="00686AD6">
        <w:rPr>
          <w:rStyle w:val="FootnoteReference"/>
        </w:rPr>
        <w:footnoteReference w:id="28"/>
      </w:r>
      <w:r w:rsidR="002D2EF6">
        <w:t xml:space="preserve"> with 19% of flows travelling west from Paddock Wood via the B2017</w:t>
      </w:r>
      <w:r w:rsidR="00686AD6">
        <w:rPr>
          <w:rStyle w:val="FootnoteReference"/>
        </w:rPr>
        <w:footnoteReference w:id="29"/>
      </w:r>
      <w:r w:rsidR="002D2EF6">
        <w:t xml:space="preserve">. Further justification for the routing </w:t>
      </w:r>
      <w:r>
        <w:t xml:space="preserve">in respect </w:t>
      </w:r>
      <w:r w:rsidR="004C32F6">
        <w:t xml:space="preserve"> of</w:t>
      </w:r>
      <w:r w:rsidR="002D2EF6">
        <w:t xml:space="preserve"> </w:t>
      </w:r>
      <w:r w:rsidR="00DE166E">
        <w:t xml:space="preserve">TGV </w:t>
      </w:r>
      <w:r w:rsidR="002D2EF6">
        <w:t>is provided by WSP which i</w:t>
      </w:r>
      <w:r>
        <w:t xml:space="preserve">dentified </w:t>
      </w:r>
      <w:r w:rsidR="002D2EF6">
        <w:t xml:space="preserve"> 31%</w:t>
      </w:r>
      <w:r w:rsidR="00205F6B">
        <w:rPr>
          <w:rStyle w:val="FootnoteReference"/>
        </w:rPr>
        <w:footnoteReference w:id="30"/>
      </w:r>
      <w:r w:rsidR="002D2EF6">
        <w:t xml:space="preserve"> of movements travelling eastbound from the site, which aligns with the assessment present</w:t>
      </w:r>
      <w:r w:rsidR="00B069AF">
        <w:t>ed</w:t>
      </w:r>
      <w:r w:rsidR="002D2EF6">
        <w:t xml:space="preserve"> by Stantec.</w:t>
      </w:r>
    </w:p>
    <w:p w14:paraId="0CC696F5" w14:textId="40A7A23B" w:rsidR="00B069AF" w:rsidRDefault="00B069AF" w:rsidP="00B069AF">
      <w:pPr>
        <w:pStyle w:val="BodyTextNumbered"/>
      </w:pPr>
      <w:r>
        <w:t xml:space="preserve">Recent evidence submitted in support of Planning Application: </w:t>
      </w:r>
      <w:r w:rsidR="006C7586" w:rsidRPr="00836E3A">
        <w:rPr>
          <w:rFonts w:hint="cs"/>
        </w:rPr>
        <w:t>23/00086/HYBRID</w:t>
      </w:r>
      <w:r>
        <w:t xml:space="preserve">, which </w:t>
      </w:r>
      <w:r w:rsidR="00052135">
        <w:t xml:space="preserve">is for development that </w:t>
      </w:r>
      <w:r>
        <w:t>forms part of the wider Paddock Wood allocation</w:t>
      </w:r>
      <w:r w:rsidR="00DE166E">
        <w:t>s</w:t>
      </w:r>
      <w:r>
        <w:t xml:space="preserve">, </w:t>
      </w:r>
      <w:r w:rsidR="00052135">
        <w:t xml:space="preserve">reveals a </w:t>
      </w:r>
      <w:r>
        <w:t xml:space="preserve">distribution on the B2017 of 13.8%, which </w:t>
      </w:r>
      <w:r w:rsidR="00052135">
        <w:t>itself</w:t>
      </w:r>
      <w:r>
        <w:t xml:space="preserve"> illustrates </w:t>
      </w:r>
      <w:r w:rsidR="006C7586">
        <w:t>the impact of Paddock Wood at this location.</w:t>
      </w:r>
    </w:p>
    <w:p w14:paraId="3381E233" w14:textId="79A76159" w:rsidR="006C7586" w:rsidRDefault="006C7586" w:rsidP="00B069AF">
      <w:pPr>
        <w:pStyle w:val="BodyTextNumbered"/>
      </w:pPr>
      <w:r>
        <w:t xml:space="preserve">Utilising the external trips presented by Stantec with respect to both </w:t>
      </w:r>
      <w:r w:rsidR="00DE166E">
        <w:t>TGV</w:t>
      </w:r>
      <w:r w:rsidR="00052135">
        <w:t xml:space="preserve"> </w:t>
      </w:r>
      <w:r w:rsidR="00205F6B">
        <w:rPr>
          <w:rStyle w:val="FootnoteReference"/>
        </w:rPr>
        <w:footnoteReference w:id="31"/>
      </w:r>
      <w:r>
        <w:t xml:space="preserve"> and Paddock Wood</w:t>
      </w:r>
      <w:r w:rsidR="00205F6B">
        <w:rPr>
          <w:rStyle w:val="FootnoteReference"/>
        </w:rPr>
        <w:footnoteReference w:id="32"/>
      </w:r>
      <w:r>
        <w:t xml:space="preserve"> (assuming both the higher and lower figures presented), the AM and PM peak trip distribution for both sites is detailed in </w:t>
      </w:r>
      <w:r w:rsidRPr="00BA4221">
        <w:rPr>
          <w:rStyle w:val="CrossRef"/>
        </w:rPr>
        <w:fldChar w:fldCharType="begin"/>
      </w:r>
      <w:r w:rsidR="00D07B7D" w:rsidRPr="00BA4221">
        <w:rPr>
          <w:rStyle w:val="CrossRef"/>
        </w:rPr>
        <w:instrText xml:space="preserve"> REF _Ref132725731 \h \* CHARFORMAT </w:instrText>
      </w:r>
      <w:r w:rsidRPr="00BA4221">
        <w:rPr>
          <w:rStyle w:val="CrossRef"/>
        </w:rPr>
      </w:r>
      <w:r w:rsidRPr="00BA4221">
        <w:rPr>
          <w:rStyle w:val="CrossRef"/>
        </w:rPr>
        <w:fldChar w:fldCharType="separate"/>
      </w:r>
      <w:r w:rsidR="0099381E" w:rsidRPr="00BA4221">
        <w:rPr>
          <w:rStyle w:val="CrossRef"/>
        </w:rPr>
        <w:t>Table 5.1</w:t>
      </w:r>
      <w:r w:rsidRPr="00BA4221">
        <w:rPr>
          <w:rStyle w:val="CrossRef"/>
        </w:rPr>
        <w:fldChar w:fldCharType="end"/>
      </w:r>
      <w:r>
        <w:t xml:space="preserve"> based on the above methodologies. </w:t>
      </w:r>
      <w:r w:rsidR="00D07B7D">
        <w:t xml:space="preserve">The </w:t>
      </w:r>
      <w:r w:rsidR="00DE166E">
        <w:lastRenderedPageBreak/>
        <w:t>TGV</w:t>
      </w:r>
      <w:r w:rsidR="00D07B7D">
        <w:t xml:space="preserve"> impact has been assessed on the basis of the full build out of the development (2,800 dwellings).</w:t>
      </w:r>
    </w:p>
    <w:p w14:paraId="2AEF5125" w14:textId="7586DDDE" w:rsidR="006C7586" w:rsidRDefault="006C7586" w:rsidP="00DE32BD">
      <w:pPr>
        <w:pStyle w:val="Caption"/>
      </w:pPr>
      <w:bookmarkStart w:id="8" w:name="_Ref132725731"/>
      <w:r>
        <w:t xml:space="preserve">Table </w:t>
      </w:r>
      <w:r>
        <w:rPr>
          <w:noProof/>
        </w:rPr>
        <w:fldChar w:fldCharType="begin"/>
      </w:r>
      <w:r>
        <w:rPr>
          <w:noProof/>
        </w:rPr>
        <w:instrText xml:space="preserve"> STYLEREF 1 \s </w:instrText>
      </w:r>
      <w:r>
        <w:rPr>
          <w:noProof/>
        </w:rPr>
        <w:fldChar w:fldCharType="separate"/>
      </w:r>
      <w:r w:rsidR="0099381E">
        <w:rPr>
          <w:noProof/>
        </w:rPr>
        <w:t>5</w:t>
      </w:r>
      <w:r>
        <w:rPr>
          <w:noProof/>
        </w:rPr>
        <w:fldChar w:fldCharType="end"/>
      </w:r>
      <w:r>
        <w:t>.</w:t>
      </w:r>
      <w:r>
        <w:rPr>
          <w:noProof/>
        </w:rPr>
        <w:fldChar w:fldCharType="begin"/>
      </w:r>
      <w:r>
        <w:rPr>
          <w:noProof/>
        </w:rPr>
        <w:instrText xml:space="preserve"> SEQ Table \* ARABIC \s 1 </w:instrText>
      </w:r>
      <w:r>
        <w:rPr>
          <w:noProof/>
        </w:rPr>
        <w:fldChar w:fldCharType="separate"/>
      </w:r>
      <w:r w:rsidR="0099381E">
        <w:rPr>
          <w:noProof/>
        </w:rPr>
        <w:t>1</w:t>
      </w:r>
      <w:r>
        <w:rPr>
          <w:noProof/>
        </w:rPr>
        <w:fldChar w:fldCharType="end"/>
      </w:r>
      <w:bookmarkEnd w:id="8"/>
      <w:r>
        <w:tab/>
        <w:t>B2017</w:t>
      </w:r>
      <w:r w:rsidR="003604B5">
        <w:t xml:space="preserve"> </w:t>
      </w:r>
      <w:r>
        <w:t xml:space="preserve">Trip Distribution – Paddock Wood and Tudeley </w:t>
      </w:r>
    </w:p>
    <w:tbl>
      <w:tblPr>
        <w:tblStyle w:val="MKTable1"/>
        <w:tblW w:w="0" w:type="auto"/>
        <w:tblLook w:val="06A0" w:firstRow="1" w:lastRow="0" w:firstColumn="1" w:lastColumn="0" w:noHBand="1" w:noVBand="1"/>
      </w:tblPr>
      <w:tblGrid>
        <w:gridCol w:w="2263"/>
        <w:gridCol w:w="1417"/>
        <w:gridCol w:w="1418"/>
        <w:gridCol w:w="1559"/>
        <w:gridCol w:w="1546"/>
      </w:tblGrid>
      <w:tr w:rsidR="006C7586" w:rsidRPr="006C7586" w14:paraId="0CE45FEF" w14:textId="091336CF" w:rsidTr="006C758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3A08BDE7" w14:textId="36AFDD16" w:rsidR="006C7586" w:rsidRPr="006C7586" w:rsidRDefault="00D07B7D" w:rsidP="00D07B7D">
            <w:pPr>
              <w:pStyle w:val="TableText"/>
              <w:keepNext/>
              <w:keepLines/>
              <w:widowControl w:val="0"/>
              <w:rPr>
                <w:sz w:val="20"/>
                <w:szCs w:val="20"/>
              </w:rPr>
            </w:pPr>
            <w:r>
              <w:rPr>
                <w:sz w:val="20"/>
                <w:szCs w:val="20"/>
              </w:rPr>
              <w:t xml:space="preserve">Assessment </w:t>
            </w:r>
          </w:p>
        </w:tc>
        <w:tc>
          <w:tcPr>
            <w:tcW w:w="2835" w:type="dxa"/>
            <w:gridSpan w:val="2"/>
          </w:tcPr>
          <w:p w14:paraId="4DF3D9B5" w14:textId="39C0EFB4" w:rsidR="006C7586" w:rsidRPr="006C7586" w:rsidRDefault="006C7586" w:rsidP="00DE32BD">
            <w:pPr>
              <w:pStyle w:val="TableText"/>
              <w:keepNext/>
              <w:keepLines/>
              <w:widowControl w:val="0"/>
              <w:cnfStyle w:val="100000000000" w:firstRow="1" w:lastRow="0" w:firstColumn="0" w:lastColumn="0" w:oddVBand="0" w:evenVBand="0" w:oddHBand="0" w:evenHBand="0" w:firstRowFirstColumn="0" w:firstRowLastColumn="0" w:lastRowFirstColumn="0" w:lastRowLastColumn="0"/>
              <w:rPr>
                <w:sz w:val="20"/>
                <w:szCs w:val="20"/>
              </w:rPr>
            </w:pPr>
            <w:r w:rsidRPr="006C7586">
              <w:rPr>
                <w:sz w:val="20"/>
                <w:szCs w:val="20"/>
              </w:rPr>
              <w:t>Higher Trip Impact</w:t>
            </w:r>
          </w:p>
        </w:tc>
        <w:tc>
          <w:tcPr>
            <w:tcW w:w="3105" w:type="dxa"/>
            <w:gridSpan w:val="2"/>
          </w:tcPr>
          <w:p w14:paraId="412A4B10" w14:textId="72BDB775" w:rsidR="006C7586" w:rsidRPr="006C7586" w:rsidRDefault="006C7586" w:rsidP="00DE32BD">
            <w:pPr>
              <w:pStyle w:val="TableText"/>
              <w:keepNext/>
              <w:keepLines/>
              <w:widowControl w:val="0"/>
              <w:cnfStyle w:val="100000000000" w:firstRow="1" w:lastRow="0" w:firstColumn="0" w:lastColumn="0" w:oddVBand="0" w:evenVBand="0" w:oddHBand="0" w:evenHBand="0" w:firstRowFirstColumn="0" w:firstRowLastColumn="0" w:lastRowFirstColumn="0" w:lastRowLastColumn="0"/>
              <w:rPr>
                <w:sz w:val="20"/>
                <w:szCs w:val="20"/>
              </w:rPr>
            </w:pPr>
            <w:r w:rsidRPr="006C7586">
              <w:rPr>
                <w:sz w:val="20"/>
                <w:szCs w:val="20"/>
              </w:rPr>
              <w:t>Lower Trip Impact</w:t>
            </w:r>
          </w:p>
        </w:tc>
      </w:tr>
      <w:tr w:rsidR="006C7586" w:rsidRPr="006C7586" w14:paraId="5F0EF1BB" w14:textId="77777777" w:rsidTr="00AE2A05">
        <w:trPr>
          <w:trHeight w:val="397"/>
        </w:trPr>
        <w:tc>
          <w:tcPr>
            <w:cnfStyle w:val="001000000000" w:firstRow="0" w:lastRow="0" w:firstColumn="1" w:lastColumn="0" w:oddVBand="0" w:evenVBand="0" w:oddHBand="0" w:evenHBand="0" w:firstRowFirstColumn="0" w:firstRowLastColumn="0" w:lastRowFirstColumn="0" w:lastRowLastColumn="0"/>
            <w:tcW w:w="2263" w:type="dxa"/>
            <w:vMerge/>
          </w:tcPr>
          <w:p w14:paraId="708E4097" w14:textId="77777777" w:rsidR="006C7586" w:rsidRPr="006C7586" w:rsidRDefault="006C7586" w:rsidP="00DE32BD">
            <w:pPr>
              <w:pStyle w:val="TableText"/>
              <w:keepNext/>
              <w:keepLines/>
              <w:widowControl w:val="0"/>
              <w:rPr>
                <w:sz w:val="20"/>
                <w:szCs w:val="20"/>
              </w:rPr>
            </w:pPr>
          </w:p>
        </w:tc>
        <w:tc>
          <w:tcPr>
            <w:tcW w:w="5940" w:type="dxa"/>
            <w:gridSpan w:val="4"/>
            <w:shd w:val="clear" w:color="auto" w:fill="1B5294" w:themeFill="accent1"/>
          </w:tcPr>
          <w:p w14:paraId="6658284D" w14:textId="055BDEC5" w:rsidR="006C7586" w:rsidRPr="006C7586" w:rsidRDefault="006C7586"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C7586">
              <w:rPr>
                <w:b/>
                <w:bCs/>
                <w:color w:val="FFFFFF" w:themeColor="background1"/>
                <w:sz w:val="20"/>
                <w:szCs w:val="20"/>
              </w:rPr>
              <w:t xml:space="preserve">Tudeley </w:t>
            </w:r>
            <w:r w:rsidR="00DE166E">
              <w:rPr>
                <w:b/>
                <w:bCs/>
                <w:color w:val="FFFFFF" w:themeColor="background1"/>
                <w:sz w:val="20"/>
                <w:szCs w:val="20"/>
              </w:rPr>
              <w:t xml:space="preserve">Garden </w:t>
            </w:r>
            <w:r w:rsidRPr="006C7586">
              <w:rPr>
                <w:b/>
                <w:bCs/>
                <w:color w:val="FFFFFF" w:themeColor="background1"/>
                <w:sz w:val="20"/>
                <w:szCs w:val="20"/>
              </w:rPr>
              <w:t>Village</w:t>
            </w:r>
          </w:p>
        </w:tc>
      </w:tr>
      <w:tr w:rsidR="006C7586" w:rsidRPr="006C7586" w14:paraId="4786C199" w14:textId="0E8E7091" w:rsidTr="006C7586">
        <w:trPr>
          <w:trHeight w:val="370"/>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1B5294" w:themeFill="accent1"/>
          </w:tcPr>
          <w:p w14:paraId="3040FEFC" w14:textId="3BAFD1D8" w:rsidR="006C7586" w:rsidRPr="006C7586" w:rsidRDefault="006C7586" w:rsidP="00DE32BD">
            <w:pPr>
              <w:pStyle w:val="TableText"/>
              <w:keepNext/>
              <w:keepLines/>
              <w:widowControl w:val="0"/>
              <w:rPr>
                <w:sz w:val="20"/>
                <w:szCs w:val="20"/>
              </w:rPr>
            </w:pPr>
          </w:p>
        </w:tc>
        <w:tc>
          <w:tcPr>
            <w:tcW w:w="1417" w:type="dxa"/>
            <w:shd w:val="clear" w:color="auto" w:fill="1B5294" w:themeFill="accent1"/>
          </w:tcPr>
          <w:p w14:paraId="4882D500" w14:textId="41B127C3" w:rsidR="006C7586" w:rsidRPr="006C7586" w:rsidRDefault="006C7586"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C7586">
              <w:rPr>
                <w:b/>
                <w:bCs/>
                <w:color w:val="FFFFFF" w:themeColor="background1"/>
                <w:sz w:val="20"/>
                <w:szCs w:val="20"/>
              </w:rPr>
              <w:t>AM</w:t>
            </w:r>
          </w:p>
        </w:tc>
        <w:tc>
          <w:tcPr>
            <w:tcW w:w="1418" w:type="dxa"/>
            <w:shd w:val="clear" w:color="auto" w:fill="1B5294" w:themeFill="accent1"/>
          </w:tcPr>
          <w:p w14:paraId="0CB09338" w14:textId="2F34AB6D" w:rsidR="006C7586" w:rsidRPr="006C7586" w:rsidRDefault="006C7586"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C7586">
              <w:rPr>
                <w:b/>
                <w:bCs/>
                <w:color w:val="FFFFFF" w:themeColor="background1"/>
                <w:sz w:val="20"/>
                <w:szCs w:val="20"/>
              </w:rPr>
              <w:t>PM</w:t>
            </w:r>
          </w:p>
        </w:tc>
        <w:tc>
          <w:tcPr>
            <w:tcW w:w="1559" w:type="dxa"/>
            <w:shd w:val="clear" w:color="auto" w:fill="1B5294" w:themeFill="accent1"/>
          </w:tcPr>
          <w:p w14:paraId="5E323777" w14:textId="50FD53DA" w:rsidR="006C7586" w:rsidRPr="006C7586" w:rsidRDefault="006C7586"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C7586">
              <w:rPr>
                <w:b/>
                <w:bCs/>
                <w:color w:val="FFFFFF" w:themeColor="background1"/>
                <w:sz w:val="20"/>
                <w:szCs w:val="20"/>
              </w:rPr>
              <w:t>AM</w:t>
            </w:r>
          </w:p>
        </w:tc>
        <w:tc>
          <w:tcPr>
            <w:tcW w:w="1546" w:type="dxa"/>
            <w:shd w:val="clear" w:color="auto" w:fill="1B5294" w:themeFill="accent1"/>
          </w:tcPr>
          <w:p w14:paraId="098136A8" w14:textId="45DECE50" w:rsidR="006C7586" w:rsidRPr="006C7586" w:rsidRDefault="006C7586"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C7586">
              <w:rPr>
                <w:b/>
                <w:bCs/>
                <w:color w:val="FFFFFF" w:themeColor="background1"/>
                <w:sz w:val="20"/>
                <w:szCs w:val="20"/>
              </w:rPr>
              <w:t>PM</w:t>
            </w:r>
          </w:p>
        </w:tc>
      </w:tr>
      <w:tr w:rsidR="006C7586" w:rsidRPr="006C7586" w14:paraId="503A8F42" w14:textId="3D1A858D" w:rsidTr="006C7586">
        <w:trPr>
          <w:trHeight w:val="370"/>
        </w:trPr>
        <w:tc>
          <w:tcPr>
            <w:cnfStyle w:val="001000000000" w:firstRow="0" w:lastRow="0" w:firstColumn="1" w:lastColumn="0" w:oddVBand="0" w:evenVBand="0" w:oddHBand="0" w:evenHBand="0" w:firstRowFirstColumn="0" w:firstRowLastColumn="0" w:lastRowFirstColumn="0" w:lastRowLastColumn="0"/>
            <w:tcW w:w="2263" w:type="dxa"/>
          </w:tcPr>
          <w:p w14:paraId="17BDDD9B" w14:textId="39B61331" w:rsidR="006C7586" w:rsidRPr="006C7586" w:rsidRDefault="006C7586" w:rsidP="00DE32BD">
            <w:pPr>
              <w:pStyle w:val="TableText"/>
              <w:keepNext/>
              <w:keepLines/>
              <w:widowControl w:val="0"/>
              <w:rPr>
                <w:sz w:val="20"/>
                <w:szCs w:val="20"/>
              </w:rPr>
            </w:pPr>
            <w:r w:rsidRPr="006C7586">
              <w:rPr>
                <w:sz w:val="20"/>
                <w:szCs w:val="20"/>
              </w:rPr>
              <w:t>Stantec</w:t>
            </w:r>
          </w:p>
        </w:tc>
        <w:tc>
          <w:tcPr>
            <w:tcW w:w="1417" w:type="dxa"/>
          </w:tcPr>
          <w:p w14:paraId="69EB40AC" w14:textId="760D4C08" w:rsidR="006C7586" w:rsidRPr="006C7586" w:rsidRDefault="00D07B7D"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580</w:t>
            </w:r>
          </w:p>
        </w:tc>
        <w:tc>
          <w:tcPr>
            <w:tcW w:w="1418" w:type="dxa"/>
          </w:tcPr>
          <w:p w14:paraId="136A0FF7" w14:textId="3696A4CA" w:rsidR="006C7586" w:rsidRPr="006C7586" w:rsidRDefault="00D07B7D"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563</w:t>
            </w:r>
          </w:p>
        </w:tc>
        <w:tc>
          <w:tcPr>
            <w:tcW w:w="1559" w:type="dxa"/>
          </w:tcPr>
          <w:p w14:paraId="011CFDA0" w14:textId="2F5957E0" w:rsidR="006C7586" w:rsidRPr="006C7586" w:rsidRDefault="00D07B7D"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346</w:t>
            </w:r>
          </w:p>
        </w:tc>
        <w:tc>
          <w:tcPr>
            <w:tcW w:w="1546" w:type="dxa"/>
          </w:tcPr>
          <w:p w14:paraId="3D8246BE" w14:textId="329DEF85" w:rsidR="006C7586" w:rsidRPr="006C7586" w:rsidRDefault="00D07B7D"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338</w:t>
            </w:r>
          </w:p>
        </w:tc>
      </w:tr>
      <w:tr w:rsidR="006C7586" w:rsidRPr="006C7586" w14:paraId="21840F89" w14:textId="49E0BCAB" w:rsidTr="006C7586">
        <w:trPr>
          <w:trHeight w:val="382"/>
        </w:trPr>
        <w:tc>
          <w:tcPr>
            <w:cnfStyle w:val="001000000000" w:firstRow="0" w:lastRow="0" w:firstColumn="1" w:lastColumn="0" w:oddVBand="0" w:evenVBand="0" w:oddHBand="0" w:evenHBand="0" w:firstRowFirstColumn="0" w:firstRowLastColumn="0" w:lastRowFirstColumn="0" w:lastRowLastColumn="0"/>
            <w:tcW w:w="2263" w:type="dxa"/>
          </w:tcPr>
          <w:p w14:paraId="7196B04A" w14:textId="378381CF" w:rsidR="006C7586" w:rsidRPr="006C7586" w:rsidRDefault="006C7586" w:rsidP="00DE32BD">
            <w:pPr>
              <w:pStyle w:val="TableText"/>
              <w:keepNext/>
              <w:keepLines/>
              <w:widowControl w:val="0"/>
              <w:rPr>
                <w:sz w:val="20"/>
                <w:szCs w:val="20"/>
              </w:rPr>
            </w:pPr>
            <w:r w:rsidRPr="006C7586">
              <w:rPr>
                <w:sz w:val="20"/>
                <w:szCs w:val="20"/>
              </w:rPr>
              <w:t>WSP</w:t>
            </w:r>
          </w:p>
        </w:tc>
        <w:tc>
          <w:tcPr>
            <w:tcW w:w="1417" w:type="dxa"/>
          </w:tcPr>
          <w:p w14:paraId="3CF5FFF8" w14:textId="2B78E460" w:rsidR="006C7586" w:rsidRPr="006C7586" w:rsidRDefault="00D56316"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642</w:t>
            </w:r>
          </w:p>
        </w:tc>
        <w:tc>
          <w:tcPr>
            <w:tcW w:w="1418" w:type="dxa"/>
          </w:tcPr>
          <w:p w14:paraId="199B8572" w14:textId="7A56BD12" w:rsidR="006C7586" w:rsidRPr="006C7586" w:rsidRDefault="00D56316" w:rsidP="00D56316">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624</w:t>
            </w:r>
          </w:p>
        </w:tc>
        <w:tc>
          <w:tcPr>
            <w:tcW w:w="1559" w:type="dxa"/>
          </w:tcPr>
          <w:p w14:paraId="446994F3" w14:textId="128A3D51" w:rsidR="006C7586" w:rsidRPr="006C7586" w:rsidRDefault="00D56316"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383</w:t>
            </w:r>
          </w:p>
        </w:tc>
        <w:tc>
          <w:tcPr>
            <w:tcW w:w="1546" w:type="dxa"/>
          </w:tcPr>
          <w:p w14:paraId="4DB2B733" w14:textId="09072A9D" w:rsidR="006C7586" w:rsidRPr="006C7586" w:rsidRDefault="00D56316"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374</w:t>
            </w:r>
          </w:p>
        </w:tc>
      </w:tr>
      <w:tr w:rsidR="00D07B7D" w:rsidRPr="006C7586" w14:paraId="0F43DE9F" w14:textId="77777777" w:rsidTr="000758EF">
        <w:trPr>
          <w:trHeight w:val="382"/>
        </w:trPr>
        <w:tc>
          <w:tcPr>
            <w:cnfStyle w:val="001000000000" w:firstRow="0" w:lastRow="0" w:firstColumn="1" w:lastColumn="0" w:oddVBand="0" w:evenVBand="0" w:oddHBand="0" w:evenHBand="0" w:firstRowFirstColumn="0" w:firstRowLastColumn="0" w:lastRowFirstColumn="0" w:lastRowLastColumn="0"/>
            <w:tcW w:w="2263" w:type="dxa"/>
            <w:shd w:val="clear" w:color="auto" w:fill="1B5294" w:themeFill="accent1"/>
          </w:tcPr>
          <w:p w14:paraId="433378F2" w14:textId="2D95DB17" w:rsidR="00D07B7D" w:rsidRPr="006C7586" w:rsidRDefault="00D07B7D" w:rsidP="00DE32BD">
            <w:pPr>
              <w:pStyle w:val="TableText"/>
              <w:keepNext/>
              <w:keepLines/>
              <w:widowControl w:val="0"/>
              <w:rPr>
                <w:sz w:val="20"/>
                <w:szCs w:val="20"/>
              </w:rPr>
            </w:pPr>
          </w:p>
        </w:tc>
        <w:tc>
          <w:tcPr>
            <w:tcW w:w="5940" w:type="dxa"/>
            <w:gridSpan w:val="4"/>
            <w:shd w:val="clear" w:color="auto" w:fill="1B5294" w:themeFill="accent1"/>
          </w:tcPr>
          <w:p w14:paraId="3B6E3DC1" w14:textId="1AED69BD" w:rsidR="00D07B7D" w:rsidRPr="00D07B7D" w:rsidRDefault="00D07B7D" w:rsidP="00DE32BD">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D07B7D">
              <w:rPr>
                <w:b/>
                <w:bCs/>
                <w:color w:val="FFFFFF" w:themeColor="background1"/>
                <w:sz w:val="20"/>
                <w:szCs w:val="20"/>
              </w:rPr>
              <w:t>Paddock Wood</w:t>
            </w:r>
          </w:p>
        </w:tc>
      </w:tr>
      <w:tr w:rsidR="006C7586" w:rsidRPr="006C7586" w14:paraId="2D163C90" w14:textId="77777777" w:rsidTr="006C7586">
        <w:trPr>
          <w:trHeight w:val="382"/>
        </w:trPr>
        <w:tc>
          <w:tcPr>
            <w:cnfStyle w:val="001000000000" w:firstRow="0" w:lastRow="0" w:firstColumn="1" w:lastColumn="0" w:oddVBand="0" w:evenVBand="0" w:oddHBand="0" w:evenHBand="0" w:firstRowFirstColumn="0" w:firstRowLastColumn="0" w:lastRowFirstColumn="0" w:lastRowLastColumn="0"/>
            <w:tcW w:w="2263" w:type="dxa"/>
          </w:tcPr>
          <w:p w14:paraId="27A124F3" w14:textId="4036EC13" w:rsidR="006C7586" w:rsidRPr="006C7586" w:rsidRDefault="006C7586" w:rsidP="006C7586">
            <w:pPr>
              <w:pStyle w:val="TableText"/>
              <w:keepNext/>
              <w:keepLines/>
              <w:widowControl w:val="0"/>
              <w:rPr>
                <w:sz w:val="20"/>
                <w:szCs w:val="20"/>
              </w:rPr>
            </w:pPr>
            <w:r w:rsidRPr="006C7586">
              <w:rPr>
                <w:sz w:val="20"/>
                <w:szCs w:val="20"/>
              </w:rPr>
              <w:t>Stantec</w:t>
            </w:r>
          </w:p>
        </w:tc>
        <w:tc>
          <w:tcPr>
            <w:tcW w:w="1417" w:type="dxa"/>
          </w:tcPr>
          <w:p w14:paraId="6C134622" w14:textId="2C5DE1A2" w:rsidR="006C7586" w:rsidRPr="006C7586" w:rsidRDefault="00D56316" w:rsidP="006C7586">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372</w:t>
            </w:r>
          </w:p>
        </w:tc>
        <w:tc>
          <w:tcPr>
            <w:tcW w:w="1418" w:type="dxa"/>
          </w:tcPr>
          <w:p w14:paraId="3A76679C" w14:textId="40809A32" w:rsidR="006C7586" w:rsidRPr="006C7586" w:rsidRDefault="00D56316" w:rsidP="00D56316">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367</w:t>
            </w:r>
          </w:p>
        </w:tc>
        <w:tc>
          <w:tcPr>
            <w:tcW w:w="1559" w:type="dxa"/>
          </w:tcPr>
          <w:p w14:paraId="6B719CD1" w14:textId="44C1316A" w:rsidR="006C7586" w:rsidRPr="006C7586" w:rsidRDefault="00D56316" w:rsidP="006C7586">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223</w:t>
            </w:r>
          </w:p>
        </w:tc>
        <w:tc>
          <w:tcPr>
            <w:tcW w:w="1546" w:type="dxa"/>
          </w:tcPr>
          <w:p w14:paraId="0099F345" w14:textId="71C39D5A" w:rsidR="006C7586" w:rsidRPr="006C7586" w:rsidRDefault="00D56316" w:rsidP="006C7586">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220</w:t>
            </w:r>
          </w:p>
        </w:tc>
      </w:tr>
      <w:tr w:rsidR="006C7586" w:rsidRPr="006C7586" w14:paraId="670246CB" w14:textId="77777777" w:rsidTr="006C7586">
        <w:trPr>
          <w:trHeight w:val="382"/>
        </w:trPr>
        <w:tc>
          <w:tcPr>
            <w:cnfStyle w:val="001000000000" w:firstRow="0" w:lastRow="0" w:firstColumn="1" w:lastColumn="0" w:oddVBand="0" w:evenVBand="0" w:oddHBand="0" w:evenHBand="0" w:firstRowFirstColumn="0" w:firstRowLastColumn="0" w:lastRowFirstColumn="0" w:lastRowLastColumn="0"/>
            <w:tcW w:w="2263" w:type="dxa"/>
          </w:tcPr>
          <w:p w14:paraId="17C03690" w14:textId="3BE4DB21" w:rsidR="006C7586" w:rsidRPr="006C7586" w:rsidRDefault="006C7586" w:rsidP="006C7586">
            <w:pPr>
              <w:pStyle w:val="TableText"/>
              <w:keepNext/>
              <w:keepLines/>
              <w:widowControl w:val="0"/>
              <w:rPr>
                <w:sz w:val="20"/>
                <w:szCs w:val="20"/>
              </w:rPr>
            </w:pPr>
            <w:r w:rsidRPr="006C7586">
              <w:rPr>
                <w:rFonts w:hint="cs"/>
                <w:sz w:val="20"/>
                <w:szCs w:val="20"/>
              </w:rPr>
              <w:t>23/00086/HYBRID</w:t>
            </w:r>
            <w:r w:rsidR="00416D19">
              <w:rPr>
                <w:sz w:val="20"/>
                <w:szCs w:val="20"/>
              </w:rPr>
              <w:t>*</w:t>
            </w:r>
          </w:p>
        </w:tc>
        <w:tc>
          <w:tcPr>
            <w:tcW w:w="1417" w:type="dxa"/>
          </w:tcPr>
          <w:p w14:paraId="43F9E1F8" w14:textId="57F52631" w:rsidR="006C7586" w:rsidRPr="006C7586" w:rsidRDefault="00D56316" w:rsidP="006C7586">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274</w:t>
            </w:r>
          </w:p>
        </w:tc>
        <w:tc>
          <w:tcPr>
            <w:tcW w:w="1418" w:type="dxa"/>
          </w:tcPr>
          <w:p w14:paraId="645EAEA6" w14:textId="0C9C5527" w:rsidR="006C7586" w:rsidRPr="006C7586" w:rsidRDefault="00D56316" w:rsidP="00D56316">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270</w:t>
            </w:r>
          </w:p>
        </w:tc>
        <w:tc>
          <w:tcPr>
            <w:tcW w:w="1559" w:type="dxa"/>
          </w:tcPr>
          <w:p w14:paraId="1F5F020E" w14:textId="7EB99C4F" w:rsidR="006C7586" w:rsidRPr="006C7586" w:rsidRDefault="00D56316" w:rsidP="006C7586">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165</w:t>
            </w:r>
          </w:p>
        </w:tc>
        <w:tc>
          <w:tcPr>
            <w:tcW w:w="1546" w:type="dxa"/>
          </w:tcPr>
          <w:p w14:paraId="1ADE8E35" w14:textId="05C972BB" w:rsidR="006C7586" w:rsidRPr="006C7586" w:rsidRDefault="00D56316" w:rsidP="006C7586">
            <w:pPr>
              <w:pStyle w:val="TableText"/>
              <w:keepNext/>
              <w:keepLines/>
              <w:widowControl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162</w:t>
            </w:r>
          </w:p>
        </w:tc>
      </w:tr>
    </w:tbl>
    <w:p w14:paraId="72A37109" w14:textId="103605CC" w:rsidR="00416D19" w:rsidRPr="00416D19" w:rsidRDefault="00416D19" w:rsidP="00416D19">
      <w:pPr>
        <w:pStyle w:val="BodyTextNumbered"/>
        <w:numPr>
          <w:ilvl w:val="0"/>
          <w:numId w:val="0"/>
        </w:numPr>
        <w:ind w:left="851"/>
        <w:rPr>
          <w:i/>
          <w:iCs/>
          <w:sz w:val="20"/>
          <w:szCs w:val="20"/>
        </w:rPr>
      </w:pPr>
      <w:r w:rsidRPr="00416D19">
        <w:rPr>
          <w:i/>
          <w:iCs/>
          <w:sz w:val="20"/>
          <w:szCs w:val="20"/>
        </w:rPr>
        <w:t xml:space="preserve">* Please note these figures are not the total trips generated by the </w:t>
      </w:r>
      <w:r>
        <w:rPr>
          <w:i/>
          <w:iCs/>
          <w:sz w:val="20"/>
          <w:szCs w:val="20"/>
        </w:rPr>
        <w:t>hybrid application.</w:t>
      </w:r>
      <w:r w:rsidRPr="00416D19">
        <w:rPr>
          <w:i/>
          <w:iCs/>
          <w:sz w:val="20"/>
          <w:szCs w:val="20"/>
        </w:rPr>
        <w:t xml:space="preserve"> </w:t>
      </w:r>
      <w:r>
        <w:rPr>
          <w:i/>
          <w:iCs/>
          <w:sz w:val="20"/>
          <w:szCs w:val="20"/>
        </w:rPr>
        <w:t>T</w:t>
      </w:r>
      <w:r w:rsidRPr="00416D19">
        <w:rPr>
          <w:i/>
          <w:iCs/>
          <w:sz w:val="20"/>
          <w:szCs w:val="20"/>
        </w:rPr>
        <w:t>hese flows relate to the Paddock Wood allocation as a whole, based on Stantec’s trip assessmen</w:t>
      </w:r>
      <w:r>
        <w:rPr>
          <w:i/>
          <w:iCs/>
          <w:sz w:val="20"/>
          <w:szCs w:val="20"/>
        </w:rPr>
        <w:t>t being factored by the trip distribution outlined within the hybrid application.</w:t>
      </w:r>
    </w:p>
    <w:p w14:paraId="4F8C825E" w14:textId="254E9C4E" w:rsidR="006C7586" w:rsidRPr="00836E3A" w:rsidRDefault="00D56316" w:rsidP="00B069AF">
      <w:pPr>
        <w:pStyle w:val="BodyTextNumbered"/>
      </w:pPr>
      <w:r>
        <w:t xml:space="preserve">Taking the above assessment and reviewing the combination of movements that could take place based on the distribution methodologies employed, </w:t>
      </w:r>
      <w:r w:rsidR="00DE166E">
        <w:t xml:space="preserve">TGV </w:t>
      </w:r>
      <w:r>
        <w:t xml:space="preserve">would account for between 61% and 70% of the </w:t>
      </w:r>
      <w:r w:rsidR="009E4B86">
        <w:t xml:space="preserve">additional </w:t>
      </w:r>
      <w:r>
        <w:t>movements on the B2017</w:t>
      </w:r>
      <w:r w:rsidR="009E4B86">
        <w:t xml:space="preserve"> in the vicinity of Five Oak Green</w:t>
      </w:r>
      <w:r>
        <w:t>, with Paddock Wood accounting for between 30% and 39%</w:t>
      </w:r>
      <w:r w:rsidR="00205F6B">
        <w:t xml:space="preserve"> of trips</w:t>
      </w:r>
      <w:r>
        <w:t xml:space="preserve">. </w:t>
      </w:r>
    </w:p>
    <w:p w14:paraId="01787982" w14:textId="6C162B6B" w:rsidR="002D2EF6" w:rsidRDefault="00D56316" w:rsidP="000D5CFF">
      <w:pPr>
        <w:pStyle w:val="BodyTextNumbered"/>
      </w:pPr>
      <w:r>
        <w:t xml:space="preserve">Given the above, it is clear that the provision of </w:t>
      </w:r>
      <w:r w:rsidR="001F5370">
        <w:t xml:space="preserve">any </w:t>
      </w:r>
      <w:r>
        <w:t xml:space="preserve">bypass cannot solely be attributed to the impacts </w:t>
      </w:r>
      <w:r w:rsidR="000E2D71">
        <w:t>of</w:t>
      </w:r>
      <w:r>
        <w:t xml:space="preserve"> </w:t>
      </w:r>
      <w:r w:rsidR="00DE166E">
        <w:t>TGV</w:t>
      </w:r>
      <w:r w:rsidR="00052135">
        <w:t xml:space="preserve"> </w:t>
      </w:r>
      <w:r>
        <w:t xml:space="preserve">alone, </w:t>
      </w:r>
      <w:r w:rsidR="00052135">
        <w:t>and</w:t>
      </w:r>
      <w:r>
        <w:t xml:space="preserve"> movements associated with Paddock Wood </w:t>
      </w:r>
      <w:r w:rsidR="004C32F6">
        <w:t xml:space="preserve">are </w:t>
      </w:r>
      <w:r>
        <w:t xml:space="preserve">clearly seen to impact the B2017 in the peak periods. This assessment affirms the </w:t>
      </w:r>
      <w:r w:rsidR="00052135">
        <w:t>position that a bypass is required for the impacts of Paddock Wood, and</w:t>
      </w:r>
      <w:r>
        <w:t xml:space="preserve"> that </w:t>
      </w:r>
      <w:r w:rsidR="001F5370">
        <w:t xml:space="preserve">any </w:t>
      </w:r>
      <w:r>
        <w:t xml:space="preserve">bypass </w:t>
      </w:r>
      <w:r w:rsidR="00B35C74">
        <w:t xml:space="preserve">should be </w:t>
      </w:r>
      <w:r>
        <w:t xml:space="preserve">treated as a shared responsibility for both </w:t>
      </w:r>
      <w:r w:rsidR="00DE166E">
        <w:t>TGV</w:t>
      </w:r>
      <w:r>
        <w:t xml:space="preserve"> and Paddock Wood.</w:t>
      </w:r>
    </w:p>
    <w:p w14:paraId="5EC5D40C" w14:textId="2DAF09F1" w:rsidR="000C5C37" w:rsidRDefault="000C5C37" w:rsidP="00FB7640">
      <w:pPr>
        <w:pStyle w:val="Heading3"/>
      </w:pPr>
      <w:r>
        <w:t xml:space="preserve">The </w:t>
      </w:r>
      <w:r w:rsidR="003604B5">
        <w:t>P</w:t>
      </w:r>
      <w:r>
        <w:t xml:space="preserve">otential </w:t>
      </w:r>
      <w:r w:rsidR="003604B5">
        <w:t>T</w:t>
      </w:r>
      <w:r>
        <w:t xml:space="preserve">iming of a </w:t>
      </w:r>
      <w:r w:rsidR="003604B5">
        <w:t>B</w:t>
      </w:r>
      <w:r>
        <w:t>ypass</w:t>
      </w:r>
    </w:p>
    <w:p w14:paraId="2336B014" w14:textId="0C2E9B7F" w:rsidR="00D56316" w:rsidRDefault="000E2D71" w:rsidP="000D5CFF">
      <w:pPr>
        <w:pStyle w:val="BodyTextNumbered"/>
      </w:pPr>
      <w:r>
        <w:t>With respect to the timing of the implementation of the bypass</w:t>
      </w:r>
      <w:r w:rsidR="00A41CD8">
        <w:t>, it is noted that beyond an estimation of implementation deemed to be ‘Medium’ term</w:t>
      </w:r>
      <w:r w:rsidR="00C30F67">
        <w:t xml:space="preserve"> (2025 to 2032)</w:t>
      </w:r>
      <w:r w:rsidR="00A41CD8">
        <w:t xml:space="preserve"> by David Lock Associates</w:t>
      </w:r>
      <w:r w:rsidR="00C30F67">
        <w:rPr>
          <w:rStyle w:val="FootnoteReference"/>
        </w:rPr>
        <w:footnoteReference w:id="33"/>
      </w:r>
      <w:r w:rsidR="00A41CD8">
        <w:t>, the exact trigger point for the bypass has yet to be determined.</w:t>
      </w:r>
      <w:r w:rsidR="00B35C74">
        <w:t xml:space="preserve"> The exact timing </w:t>
      </w:r>
      <w:r w:rsidR="00A41CD8">
        <w:t xml:space="preserve"> would need to be the subject of further assessment at the planning application stage</w:t>
      </w:r>
      <w:r w:rsidR="00B35C74">
        <w:t xml:space="preserve"> for </w:t>
      </w:r>
      <w:r w:rsidR="00DE166E">
        <w:t>TGV</w:t>
      </w:r>
      <w:r w:rsidR="00B35C74">
        <w:t xml:space="preserve">, but </w:t>
      </w:r>
      <w:r w:rsidR="00A41CD8">
        <w:t xml:space="preserve">a </w:t>
      </w:r>
      <w:r w:rsidR="00015AD9">
        <w:t>high-level</w:t>
      </w:r>
      <w:r w:rsidR="00A41CD8">
        <w:t xml:space="preserve"> assessment of the link flow capacity of the B2017 has been considered</w:t>
      </w:r>
      <w:r w:rsidR="00015AD9">
        <w:t xml:space="preserve"> below</w:t>
      </w:r>
      <w:r w:rsidR="00A41CD8">
        <w:t xml:space="preserve">. </w:t>
      </w:r>
    </w:p>
    <w:p w14:paraId="7ED2471F" w14:textId="3054C5CB" w:rsidR="00A41CD8" w:rsidRDefault="003C095A" w:rsidP="000D5CFF">
      <w:pPr>
        <w:pStyle w:val="BodyTextNumbered"/>
      </w:pPr>
      <w:r>
        <w:t xml:space="preserve">The Design Manual for Roads and Bridges (DMRB) </w:t>
      </w:r>
      <w:r w:rsidR="00B35C74">
        <w:t xml:space="preserve">formerly included guidance </w:t>
      </w:r>
      <w:r w:rsidR="004C32F6">
        <w:t>regarding</w:t>
      </w:r>
      <w:r w:rsidR="00B35C74">
        <w:t xml:space="preserve"> </w:t>
      </w:r>
      <w:r>
        <w:t>rural traffic flows</w:t>
      </w:r>
      <w:r w:rsidR="00C30F67">
        <w:rPr>
          <w:rStyle w:val="FootnoteReference"/>
        </w:rPr>
        <w:footnoteReference w:id="34"/>
      </w:r>
      <w:r>
        <w:t xml:space="preserve">. </w:t>
      </w:r>
      <w:r w:rsidR="004C32F6">
        <w:t>Whilst t</w:t>
      </w:r>
      <w:r>
        <w:t xml:space="preserve">his </w:t>
      </w:r>
      <w:r w:rsidR="00B35C74">
        <w:t xml:space="preserve">former </w:t>
      </w:r>
      <w:r>
        <w:t>guidance</w:t>
      </w:r>
      <w:r w:rsidR="00B35C74">
        <w:t xml:space="preserve"> </w:t>
      </w:r>
      <w:r w:rsidR="004C32F6">
        <w:t xml:space="preserve">has been withdrawn, it is considered that it </w:t>
      </w:r>
      <w:r w:rsidR="00B35C74">
        <w:t xml:space="preserve">continues to provide </w:t>
      </w:r>
      <w:r w:rsidR="004C32F6">
        <w:t xml:space="preserve">a </w:t>
      </w:r>
      <w:r w:rsidR="00B35C74">
        <w:t>useful indication</w:t>
      </w:r>
      <w:r w:rsidR="004C32F6">
        <w:t xml:space="preserve"> of link road capacity</w:t>
      </w:r>
      <w:r>
        <w:t xml:space="preserve">. The guidance notes that for an </w:t>
      </w:r>
      <w:r>
        <w:lastRenderedPageBreak/>
        <w:t>S2 carriageway (single carriageway measuring 7.3m) the road is capable of supporting an Annual Average Daily Total (AADT) of 13,000 movements.</w:t>
      </w:r>
    </w:p>
    <w:p w14:paraId="66248D7E" w14:textId="2F2A442E" w:rsidR="003C095A" w:rsidRDefault="00B35C74" w:rsidP="000D5CFF">
      <w:pPr>
        <w:pStyle w:val="BodyTextNumbered"/>
      </w:pPr>
      <w:r>
        <w:t>T</w:t>
      </w:r>
      <w:r w:rsidR="004C0291">
        <w:t>he DfT’s traffic count database</w:t>
      </w:r>
      <w:r>
        <w:t xml:space="preserve"> includes </w:t>
      </w:r>
      <w:r w:rsidR="004C0291">
        <w:t xml:space="preserve"> a 2019 manual count for the B2017 to the west of Five Oak Green </w:t>
      </w:r>
      <w:r>
        <w:t xml:space="preserve">with </w:t>
      </w:r>
      <w:r w:rsidR="004C0291">
        <w:t>an AADT figure of 7,613 vehicles (</w:t>
      </w:r>
      <w:r w:rsidR="00EB49AC">
        <w:t>D</w:t>
      </w:r>
      <w:r w:rsidR="004C0291">
        <w:t xml:space="preserve">ata </w:t>
      </w:r>
      <w:r w:rsidR="00EB49AC">
        <w:t>C</w:t>
      </w:r>
      <w:r w:rsidR="004C0291">
        <w:t xml:space="preserve">ount </w:t>
      </w:r>
      <w:r w:rsidR="00EB49AC">
        <w:t>P</w:t>
      </w:r>
      <w:r w:rsidR="004C0291">
        <w:t xml:space="preserve">oint 810238). </w:t>
      </w:r>
      <w:r w:rsidR="009F46F6">
        <w:t xml:space="preserve">Based on the indicative DRMB capacity for a road of this nature, the current flows on the B2017 (as it is considered that 2019 offers a reasonable assessment of vehicle movements given </w:t>
      </w:r>
      <w:r w:rsidR="001F3280">
        <w:t>the impacts of</w:t>
      </w:r>
      <w:r w:rsidR="009F46F6">
        <w:t xml:space="preserve"> COVID), a further 5,387 </w:t>
      </w:r>
      <w:r w:rsidR="009E4B86">
        <w:t xml:space="preserve">daily </w:t>
      </w:r>
      <w:r w:rsidR="009F46F6">
        <w:t>movements could be accommodated on this link.</w:t>
      </w:r>
    </w:p>
    <w:p w14:paraId="4D2C3D40" w14:textId="1B7289A2" w:rsidR="009F46F6" w:rsidRDefault="00B35C74" w:rsidP="000D5CFF">
      <w:pPr>
        <w:pStyle w:val="BodyTextNumbered"/>
      </w:pPr>
      <w:r>
        <w:t xml:space="preserve">There are </w:t>
      </w:r>
      <w:r w:rsidR="001F3280">
        <w:t xml:space="preserve">localised conditions within Five Oak Green, namely </w:t>
      </w:r>
      <w:r w:rsidR="009F46F6">
        <w:t>on-street parking but it is, nonetheless, a B</w:t>
      </w:r>
      <w:r w:rsidR="003604B5">
        <w:t>-</w:t>
      </w:r>
      <w:r w:rsidR="009F46F6">
        <w:t xml:space="preserve">road capable of supporting greater flows than currently utilise it when considered in the context of DMRB guidance. </w:t>
      </w:r>
      <w:r w:rsidR="005A4443">
        <w:t>Additional assessment would be required to determine the</w:t>
      </w:r>
      <w:r>
        <w:t xml:space="preserve"> </w:t>
      </w:r>
      <w:r w:rsidR="004C32F6">
        <w:t>exact</w:t>
      </w:r>
      <w:r w:rsidR="005A4443">
        <w:t xml:space="preserve"> trigger for the bypass, </w:t>
      </w:r>
      <w:r>
        <w:t>but</w:t>
      </w:r>
      <w:r w:rsidR="005A4443">
        <w:t xml:space="preserve">, in light of the above link capacity assessment, it is considered that a </w:t>
      </w:r>
      <w:r w:rsidR="008D0002">
        <w:t xml:space="preserve">substantive </w:t>
      </w:r>
      <w:r w:rsidR="005A4443">
        <w:t xml:space="preserve">proportion of the </w:t>
      </w:r>
      <w:r w:rsidR="00DE166E">
        <w:t>TGV</w:t>
      </w:r>
      <w:r w:rsidR="005A4443">
        <w:t xml:space="preserve"> could come forward (in conjunction with traffic management measures for Five Oak Green), </w:t>
      </w:r>
      <w:r w:rsidR="001F5370">
        <w:t>prio</w:t>
      </w:r>
      <w:r w:rsidR="003604B5">
        <w:t>r</w:t>
      </w:r>
      <w:r w:rsidR="001F5370">
        <w:t xml:space="preserve"> to the</w:t>
      </w:r>
      <w:r>
        <w:t xml:space="preserve"> </w:t>
      </w:r>
      <w:r w:rsidR="001F5370">
        <w:t xml:space="preserve">provision of a </w:t>
      </w:r>
      <w:r w:rsidR="005A4443">
        <w:t>bypass.</w:t>
      </w:r>
    </w:p>
    <w:p w14:paraId="76A7C576" w14:textId="02A6475C" w:rsidR="00125C27" w:rsidRDefault="00125C27" w:rsidP="00FB7640">
      <w:pPr>
        <w:pStyle w:val="BodyTextNumbered"/>
      </w:pPr>
      <w:r>
        <w:t>Regarding the Inspector’s comment surrounding the location of the B2017 / bypass junction within the vicinity of Capel Primary School, it is noted that currently the initial design of the bypass indicates a roundabout in this location</w:t>
      </w:r>
      <w:r>
        <w:rPr>
          <w:rStyle w:val="FootnoteReference"/>
        </w:rPr>
        <w:footnoteReference w:id="35"/>
      </w:r>
      <w:r>
        <w:t>. At present, the scale and size of the roundabout is indicative to highlight the feasibility of a connection, which will likely be reduced in scale following a capacity and design review. Additionally, whilst a roundabout is indicated, this does not exclude the possibility that an alternative junction form, such as signals or an enhanced priority junction, would also be suitable.</w:t>
      </w:r>
    </w:p>
    <w:p w14:paraId="08C336B1" w14:textId="1416C34D" w:rsidR="00125C27" w:rsidRDefault="00125C27" w:rsidP="00125C27">
      <w:pPr>
        <w:pStyle w:val="BodyTextNumbered"/>
      </w:pPr>
      <w:r>
        <w:t xml:space="preserve">Notwithstanding the above, the wider land ownership of the Hadlow Estate extends to within the vicinity of Capel Primary School which may allow for </w:t>
      </w:r>
      <w:r w:rsidR="00F6693F">
        <w:t xml:space="preserve">alternative </w:t>
      </w:r>
      <w:r>
        <w:t>improvements to be undertaken with respect to pedestrian access and school drop</w:t>
      </w:r>
      <w:r w:rsidR="00A62261">
        <w:t>-</w:t>
      </w:r>
      <w:r>
        <w:t>off and collection arrangements. Further consideration of such measures could be undertaken as part of the bypass design and associated planning application for the site, to enhance accessibility at the school.</w:t>
      </w:r>
    </w:p>
    <w:p w14:paraId="4A04CF84" w14:textId="484F2455" w:rsidR="000E2D71" w:rsidRDefault="000E2D71" w:rsidP="000D5CFF">
      <w:pPr>
        <w:pStyle w:val="BodyTextNumbered"/>
      </w:pPr>
      <w:r>
        <w:t>Finally, it is considered that the bypass and its associated need should be considered in the context of the emerging transport planning policy and guidance, which is seeking to move away from the ‘Predict and Provide’ approach</w:t>
      </w:r>
      <w:r w:rsidR="009F46F6">
        <w:t>, which has</w:t>
      </w:r>
      <w:r w:rsidR="005A4443">
        <w:t xml:space="preserve"> historically </w:t>
      </w:r>
      <w:r w:rsidR="00015AD9">
        <w:t>led</w:t>
      </w:r>
      <w:r w:rsidR="005A4443">
        <w:t xml:space="preserve"> to an over</w:t>
      </w:r>
      <w:r w:rsidR="00A62261">
        <w:t>-</w:t>
      </w:r>
      <w:r w:rsidR="005A4443">
        <w:t>provision of highway road space and capacity</w:t>
      </w:r>
      <w:r w:rsidR="00015AD9">
        <w:t>, and the negative consequences of induced demand.</w:t>
      </w:r>
    </w:p>
    <w:p w14:paraId="3609FAAE" w14:textId="1F31B609" w:rsidR="005A4443" w:rsidRDefault="005A4443" w:rsidP="000D5CFF">
      <w:pPr>
        <w:pStyle w:val="BodyTextNumbered"/>
      </w:pPr>
      <w:r>
        <w:t>Guidance produced by TRICS</w:t>
      </w:r>
      <w:r w:rsidR="001F3280">
        <w:rPr>
          <w:rStyle w:val="FootnoteReference"/>
        </w:rPr>
        <w:footnoteReference w:id="36"/>
      </w:r>
      <w:r>
        <w:t xml:space="preserve"> highlights the importance of moving away from </w:t>
      </w:r>
      <w:r w:rsidR="0093184E">
        <w:t xml:space="preserve">this approach and towards ‘Decide and Provide’. This </w:t>
      </w:r>
      <w:r w:rsidR="002F774C">
        <w:t>approach seeks for a future ‘vision’ to be decided upon, placing walking and cycling at the forefront of place</w:t>
      </w:r>
      <w:r w:rsidR="00A62261">
        <w:t>-</w:t>
      </w:r>
      <w:r w:rsidR="002F774C">
        <w:t xml:space="preserve">making and reducing the emphasis placed on highway capacity improvements. </w:t>
      </w:r>
      <w:r w:rsidR="0019583B">
        <w:t xml:space="preserve">By shifting the focus away from ‘Predict and </w:t>
      </w:r>
      <w:r w:rsidR="0019583B">
        <w:lastRenderedPageBreak/>
        <w:t>Provide’</w:t>
      </w:r>
      <w:r w:rsidR="00015AD9">
        <w:t>,</w:t>
      </w:r>
      <w:r w:rsidR="0019583B">
        <w:t xml:space="preserve"> the ‘Decide and Provide’ approach is seen to help drive towards Net Zero </w:t>
      </w:r>
      <w:r w:rsidR="00015AD9">
        <w:t xml:space="preserve">and enable </w:t>
      </w:r>
      <w:r w:rsidR="0019583B">
        <w:t>decarbonisation of the transport sector</w:t>
      </w:r>
      <w:r w:rsidR="0019583B">
        <w:rPr>
          <w:rStyle w:val="FootnoteReference"/>
        </w:rPr>
        <w:footnoteReference w:id="37"/>
      </w:r>
      <w:r w:rsidR="0019583B">
        <w:t>.</w:t>
      </w:r>
    </w:p>
    <w:p w14:paraId="26140E19" w14:textId="00A9A7FA" w:rsidR="002F774C" w:rsidRDefault="002F774C" w:rsidP="002F774C">
      <w:pPr>
        <w:pStyle w:val="BodyTextNumbered"/>
      </w:pPr>
      <w:r>
        <w:t>This new approach to planning forms the basis of the recently published Circular 1/2022 from NH</w:t>
      </w:r>
      <w:r w:rsidR="003006D3">
        <w:rPr>
          <w:rStyle w:val="FootnoteReference"/>
        </w:rPr>
        <w:footnoteReference w:id="38"/>
      </w:r>
      <w:r>
        <w:t>, highlighting the important role that this methodology will take moving forward.</w:t>
      </w:r>
    </w:p>
    <w:p w14:paraId="3343E6FA" w14:textId="7E09FB6F" w:rsidR="002F774C" w:rsidRDefault="00510E8A" w:rsidP="002F774C">
      <w:pPr>
        <w:pStyle w:val="BodyTextNumbered"/>
      </w:pPr>
      <w:r>
        <w:t>Most recently, the W</w:t>
      </w:r>
      <w:r w:rsidR="003C6A72">
        <w:t>e</w:t>
      </w:r>
      <w:r>
        <w:t xml:space="preserve">lsh Government have </w:t>
      </w:r>
      <w:r w:rsidR="00F6693F">
        <w:t xml:space="preserve">significantly reduced </w:t>
      </w:r>
      <w:r>
        <w:t>planned major road building projects</w:t>
      </w:r>
      <w:r w:rsidR="003C6A72">
        <w:t>, citing the need for change if the net zero targets are to be met. The Welsh Government notes that investment in roads will still take place but that they will also be seeking to invest in real alternatives such as rail, bus, walking and cycling projects</w:t>
      </w:r>
      <w:r w:rsidR="003C6A72">
        <w:rPr>
          <w:rStyle w:val="FootnoteReference"/>
        </w:rPr>
        <w:footnoteReference w:id="39"/>
      </w:r>
      <w:r w:rsidR="003C6A72">
        <w:t xml:space="preserve">, demonstrating the need to consider and promote alternatives to highway capacity improvements and road building. </w:t>
      </w:r>
    </w:p>
    <w:p w14:paraId="2B620F44" w14:textId="15081E12" w:rsidR="003C6A72" w:rsidRDefault="003C6A72" w:rsidP="002F774C">
      <w:pPr>
        <w:pStyle w:val="BodyTextNumbered"/>
      </w:pPr>
      <w:r>
        <w:t xml:space="preserve">The provision of the bypass and any other associated highway capacity improvements should, therefore, be considered in the context of the changing transport policy </w:t>
      </w:r>
      <w:r w:rsidR="000572B8">
        <w:t>environment and the ongoing movement towards Net Zero.</w:t>
      </w:r>
    </w:p>
    <w:p w14:paraId="0AA9F63D" w14:textId="77777777" w:rsidR="00593C6F" w:rsidRDefault="00593C6F">
      <w:pPr>
        <w:rPr>
          <w:rFonts w:asciiTheme="majorHAnsi" w:eastAsiaTheme="majorEastAsia" w:hAnsiTheme="majorHAnsi" w:cstheme="majorBidi"/>
          <w:b/>
          <w:color w:val="1B5294" w:themeColor="accent1"/>
          <w:sz w:val="36"/>
          <w:szCs w:val="32"/>
        </w:rPr>
      </w:pPr>
      <w:r>
        <w:br w:type="page"/>
      </w:r>
    </w:p>
    <w:p w14:paraId="5D230C63" w14:textId="7D824BFC" w:rsidR="002D2EF6" w:rsidRDefault="0019583B" w:rsidP="0019583B">
      <w:pPr>
        <w:pStyle w:val="Heading1"/>
      </w:pPr>
      <w:r>
        <w:lastRenderedPageBreak/>
        <w:t xml:space="preserve">Summary and Conclusion </w:t>
      </w:r>
    </w:p>
    <w:p w14:paraId="4D734B9E" w14:textId="4C62FDEA" w:rsidR="00015AD9" w:rsidRDefault="00015AD9" w:rsidP="00015AD9">
      <w:pPr>
        <w:pStyle w:val="BodyTextNumbered"/>
      </w:pPr>
      <w:r>
        <w:t xml:space="preserve">The </w:t>
      </w:r>
      <w:r w:rsidR="00543441">
        <w:t>I</w:t>
      </w:r>
      <w:r>
        <w:t xml:space="preserve">nspector’s findings pose three main questions regarding the strategy for </w:t>
      </w:r>
      <w:r w:rsidR="00A62261">
        <w:t>TGV</w:t>
      </w:r>
      <w:r>
        <w:t xml:space="preserve"> (Policy STR/SS3), namely:</w:t>
      </w:r>
    </w:p>
    <w:p w14:paraId="25407AAE" w14:textId="2F88F444" w:rsidR="00015AD9" w:rsidRDefault="00015AD9" w:rsidP="00015AD9">
      <w:pPr>
        <w:pStyle w:val="FactBoxText"/>
        <w:rPr>
          <w:i/>
          <w:iCs/>
        </w:rPr>
      </w:pPr>
      <w:r w:rsidRPr="00FB7640">
        <w:rPr>
          <w:i/>
          <w:iCs/>
        </w:rPr>
        <w:t>“the location and accessibility of the site, whether or not the necessary infrastructure can be provided and the deliverability of the site in the manner envisaged”</w:t>
      </w:r>
    </w:p>
    <w:p w14:paraId="7D118FDE" w14:textId="1403C8ED" w:rsidR="00015AD9" w:rsidRDefault="003B6B8A" w:rsidP="00015AD9">
      <w:pPr>
        <w:pStyle w:val="BodyTextNumbered"/>
      </w:pPr>
      <w:r>
        <w:t xml:space="preserve">In respect of the location and accessibility of the site, this </w:t>
      </w:r>
      <w:r w:rsidR="00FB7640">
        <w:t>T</w:t>
      </w:r>
      <w:r>
        <w:t xml:space="preserve">echnical </w:t>
      </w:r>
      <w:r w:rsidR="00FB7640">
        <w:t>N</w:t>
      </w:r>
      <w:r>
        <w:t xml:space="preserve">ote </w:t>
      </w:r>
      <w:r w:rsidR="00773507">
        <w:t>address</w:t>
      </w:r>
      <w:r>
        <w:t>es</w:t>
      </w:r>
      <w:r w:rsidR="00773507">
        <w:t xml:space="preserve"> </w:t>
      </w:r>
      <w:r>
        <w:t xml:space="preserve">specific </w:t>
      </w:r>
      <w:r w:rsidR="00773507">
        <w:t>concerns on the proposed bus service, walking and cycling infrastructure, the bypass and severity of impact in Tonbridge town centre.</w:t>
      </w:r>
    </w:p>
    <w:p w14:paraId="26512116" w14:textId="67AC863B" w:rsidR="00773507" w:rsidRDefault="00773507" w:rsidP="00015AD9">
      <w:pPr>
        <w:pStyle w:val="BodyTextNumbered"/>
      </w:pPr>
      <w:r>
        <w:t xml:space="preserve">This </w:t>
      </w:r>
      <w:r w:rsidR="00FB7640">
        <w:t>T</w:t>
      </w:r>
      <w:r>
        <w:t xml:space="preserve">echnical </w:t>
      </w:r>
      <w:r w:rsidR="00FB7640">
        <w:t>N</w:t>
      </w:r>
      <w:r>
        <w:t xml:space="preserve">ote has set out our reasoning for why </w:t>
      </w:r>
      <w:r w:rsidR="00316E2E">
        <w:t>t</w:t>
      </w:r>
      <w:r>
        <w:t xml:space="preserve">his site is ideally located in a very sustainable location just </w:t>
      </w:r>
      <w:r w:rsidR="001F5370">
        <w:t>4</w:t>
      </w:r>
      <w:r>
        <w:t xml:space="preserve">km from Tonbridge town centre. We have demonstrated that good bus and cycling links are proposed and further options can be developed as the planning process continues, to ensure genuine alternative travel options for those who live and work in </w:t>
      </w:r>
      <w:r w:rsidR="00A62261">
        <w:t>TGV</w:t>
      </w:r>
      <w:r>
        <w:t>.</w:t>
      </w:r>
    </w:p>
    <w:p w14:paraId="3304D398" w14:textId="62094E98" w:rsidR="00773507" w:rsidRDefault="00773507" w:rsidP="00316E2E">
      <w:pPr>
        <w:pStyle w:val="BodyTextNumbered"/>
      </w:pPr>
      <w:r>
        <w:t xml:space="preserve">Given the variety of route options available to improve cycle infrastructure between </w:t>
      </w:r>
      <w:r w:rsidR="00A62261">
        <w:t xml:space="preserve">TGV </w:t>
      </w:r>
      <w:r>
        <w:t xml:space="preserve">and Tonbridge especially, and the available land ownership that the site promoters can use to deliver these routes, it is </w:t>
      </w:r>
      <w:r w:rsidR="00FB7640">
        <w:t>clear that</w:t>
      </w:r>
      <w:r>
        <w:t xml:space="preserve"> multiple high quality cycle routes are </w:t>
      </w:r>
      <w:r w:rsidR="00AA6DC1">
        <w:t>deliverable and</w:t>
      </w:r>
      <w:r>
        <w:t xml:space="preserve"> </w:t>
      </w:r>
      <w:r w:rsidR="001F5370">
        <w:t xml:space="preserve">can be provided in a manner </w:t>
      </w:r>
      <w:r w:rsidR="00A62261">
        <w:t>consistent</w:t>
      </w:r>
      <w:r w:rsidR="001F5370">
        <w:t xml:space="preserve"> with the latest cycling design </w:t>
      </w:r>
      <w:r w:rsidR="00FB7640">
        <w:t xml:space="preserve">guidance, </w:t>
      </w:r>
      <w:r w:rsidR="00A62261">
        <w:t xml:space="preserve">and </w:t>
      </w:r>
      <w:r w:rsidR="00FB7640">
        <w:t>which are useable</w:t>
      </w:r>
      <w:r>
        <w:t xml:space="preserve"> all year round, in daylight and darkness.</w:t>
      </w:r>
      <w:r w:rsidR="00316E2E">
        <w:t xml:space="preserve"> We look forward to working closely with </w:t>
      </w:r>
      <w:r w:rsidR="001F5370">
        <w:t xml:space="preserve">KCC and </w:t>
      </w:r>
      <w:r w:rsidR="00316E2E">
        <w:t>TMBC to develop these route options further.</w:t>
      </w:r>
    </w:p>
    <w:p w14:paraId="468ABE00" w14:textId="1A18F8B5" w:rsidR="00773507" w:rsidRDefault="00773507" w:rsidP="00015AD9">
      <w:pPr>
        <w:pStyle w:val="BodyTextNumbered"/>
      </w:pPr>
      <w:r>
        <w:t xml:space="preserve">The proposed bus service has been demonstrated as viable and </w:t>
      </w:r>
      <w:r w:rsidR="0002683D">
        <w:t xml:space="preserve">will provide excellent connections between </w:t>
      </w:r>
      <w:r w:rsidR="00A62261">
        <w:t>TGV</w:t>
      </w:r>
      <w:r>
        <w:t xml:space="preserve"> </w:t>
      </w:r>
      <w:r w:rsidR="0002683D">
        <w:t>and</w:t>
      </w:r>
      <w:r>
        <w:t xml:space="preserve"> both Tonbridge and Paddock Wood, providing the site with an excellent bus corridor that is again deliverable and will achieve modal shift.</w:t>
      </w:r>
    </w:p>
    <w:p w14:paraId="6EF667D9" w14:textId="4B0A0947" w:rsidR="00773507" w:rsidRDefault="00773507" w:rsidP="00015AD9">
      <w:pPr>
        <w:pStyle w:val="BodyTextNumbered"/>
      </w:pPr>
      <w:r>
        <w:t>The work completed by various consultant teams on internalisation factors and modal shift assumptions ha</w:t>
      </w:r>
      <w:r w:rsidR="00A62261">
        <w:t>s been</w:t>
      </w:r>
      <w:r>
        <w:t xml:space="preserve"> shown to be robust, with the potential for significantly greater reductions on car use than have been modelled as part of the assessment for this Local Plan.</w:t>
      </w:r>
    </w:p>
    <w:p w14:paraId="0C1BD2C3" w14:textId="63B6E15E" w:rsidR="00316E2E" w:rsidRDefault="00316E2E" w:rsidP="00015AD9">
      <w:pPr>
        <w:pStyle w:val="BodyTextNumbered"/>
      </w:pPr>
      <w:r>
        <w:t xml:space="preserve">Therefore, the strategic modelling assessment scenarios carried out can be considered </w:t>
      </w:r>
      <w:r w:rsidR="0002683D">
        <w:t xml:space="preserve">worst case </w:t>
      </w:r>
      <w:r>
        <w:t xml:space="preserve">and even then, do not </w:t>
      </w:r>
      <w:r w:rsidR="0002683D">
        <w:t xml:space="preserve">appear to </w:t>
      </w:r>
      <w:r>
        <w:t>demonstrate a severe traffic impact.</w:t>
      </w:r>
    </w:p>
    <w:p w14:paraId="689E0471" w14:textId="5B12B43F" w:rsidR="00773507" w:rsidRDefault="00773507" w:rsidP="00773507">
      <w:pPr>
        <w:pStyle w:val="BodyTextNumbered"/>
      </w:pPr>
      <w:r>
        <w:t xml:space="preserve">Regarding the proposed </w:t>
      </w:r>
      <w:r w:rsidRPr="00773507">
        <w:t>bypass</w:t>
      </w:r>
      <w:r>
        <w:t xml:space="preserve"> of Five Oak Green, </w:t>
      </w:r>
      <w:r w:rsidR="0002683D">
        <w:t xml:space="preserve">it is </w:t>
      </w:r>
      <w:r w:rsidR="00993285" w:rsidRPr="00773507">
        <w:t>recognise</w:t>
      </w:r>
      <w:r w:rsidR="00993285">
        <w:t>d</w:t>
      </w:r>
      <w:r w:rsidR="0002683D">
        <w:t xml:space="preserve"> that </w:t>
      </w:r>
      <w:r w:rsidRPr="00773507">
        <w:t xml:space="preserve">further work is needed on </w:t>
      </w:r>
      <w:r>
        <w:t xml:space="preserve">the </w:t>
      </w:r>
      <w:r w:rsidRPr="00773507">
        <w:t>route alignment</w:t>
      </w:r>
      <w:r>
        <w:t xml:space="preserve"> and</w:t>
      </w:r>
      <w:r w:rsidRPr="00773507">
        <w:t xml:space="preserve"> mitigating </w:t>
      </w:r>
      <w:r>
        <w:t>the roads</w:t>
      </w:r>
      <w:r w:rsidRPr="00773507">
        <w:t xml:space="preserve"> impacts to sensitive locations (e.g. </w:t>
      </w:r>
      <w:r>
        <w:t xml:space="preserve">Capel Primary </w:t>
      </w:r>
      <w:r w:rsidRPr="00773507">
        <w:t xml:space="preserve">school). </w:t>
      </w:r>
      <w:r w:rsidR="0002683D" w:rsidRPr="0002683D">
        <w:t xml:space="preserve">All this can and should be done during the planning application process. </w:t>
      </w:r>
      <w:r w:rsidR="0002683D">
        <w:t xml:space="preserve"> Our assessment </w:t>
      </w:r>
      <w:r w:rsidR="00993285">
        <w:t>also shows</w:t>
      </w:r>
      <w:r w:rsidR="0002683D">
        <w:t xml:space="preserve"> that traffic from both </w:t>
      </w:r>
      <w:r w:rsidR="00A62261">
        <w:t xml:space="preserve">TGV </w:t>
      </w:r>
      <w:r w:rsidR="0002683D">
        <w:t xml:space="preserve">and Paddock Wood would use the B2017 in this location. </w:t>
      </w:r>
    </w:p>
    <w:p w14:paraId="20E68B42" w14:textId="7799AB5A" w:rsidR="00773507" w:rsidRPr="00773507" w:rsidRDefault="00993285" w:rsidP="00773507">
      <w:pPr>
        <w:pStyle w:val="BodyTextNumbered"/>
      </w:pPr>
      <w:r>
        <w:t>However,</w:t>
      </w:r>
      <w:r w:rsidR="0002683D">
        <w:t xml:space="preserve"> it is also clear that a significant proportion of the </w:t>
      </w:r>
      <w:r w:rsidR="00A62261">
        <w:t xml:space="preserve">TGV </w:t>
      </w:r>
      <w:r w:rsidR="00773507" w:rsidRPr="00773507">
        <w:t xml:space="preserve">site can be delivered </w:t>
      </w:r>
      <w:r w:rsidR="0002683D">
        <w:t>in advance of any proposed bypass</w:t>
      </w:r>
      <w:r w:rsidR="00773507" w:rsidRPr="00773507">
        <w:t xml:space="preserve">. </w:t>
      </w:r>
      <w:r w:rsidR="0002683D">
        <w:t xml:space="preserve"> This will also be well suited to a ‘Monitor and Manage’ approach given </w:t>
      </w:r>
      <w:r>
        <w:t>the rapidly</w:t>
      </w:r>
      <w:r w:rsidR="00773507">
        <w:t xml:space="preserve"> changing policy view that we should now address transport impacts using a ‘</w:t>
      </w:r>
      <w:r>
        <w:t>D</w:t>
      </w:r>
      <w:r w:rsidR="00773507">
        <w:t xml:space="preserve">ecide and </w:t>
      </w:r>
      <w:r>
        <w:t>P</w:t>
      </w:r>
      <w:r w:rsidR="00773507">
        <w:t>rovide’ methodology over ‘</w:t>
      </w:r>
      <w:r>
        <w:t>P</w:t>
      </w:r>
      <w:r w:rsidR="00773507">
        <w:t xml:space="preserve">redict and </w:t>
      </w:r>
      <w:r>
        <w:t>P</w:t>
      </w:r>
      <w:r w:rsidR="00773507">
        <w:t>rovide’.</w:t>
      </w:r>
    </w:p>
    <w:p w14:paraId="786892F4" w14:textId="4FE371E8" w:rsidR="00316E2E" w:rsidRPr="00015AD9" w:rsidRDefault="0002683D" w:rsidP="00316E2E">
      <w:pPr>
        <w:pStyle w:val="BodyTextNumbered"/>
      </w:pPr>
      <w:r>
        <w:lastRenderedPageBreak/>
        <w:t xml:space="preserve">The evidence indicates </w:t>
      </w:r>
      <w:r w:rsidR="00993285">
        <w:t xml:space="preserve">that </w:t>
      </w:r>
      <w:r w:rsidR="00A62261">
        <w:t>TGV</w:t>
      </w:r>
      <w:r w:rsidR="00316E2E">
        <w:t xml:space="preserve"> is </w:t>
      </w:r>
      <w:r>
        <w:t xml:space="preserve">an appropriate </w:t>
      </w:r>
      <w:r w:rsidR="00316E2E">
        <w:t xml:space="preserve">location to provide a strategic allocation of development, given its sustainable location and the deliverable set of proposals put forward to support it. </w:t>
      </w:r>
    </w:p>
    <w:sectPr w:rsidR="00316E2E" w:rsidRPr="00015AD9" w:rsidSect="00167D99">
      <w:headerReference w:type="default" r:id="rId17"/>
      <w:footerReference w:type="default" r:id="rId18"/>
      <w:type w:val="continuous"/>
      <w:pgSz w:w="11900" w:h="16840" w:code="9"/>
      <w:pgMar w:top="1814"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8C063" w14:textId="77777777" w:rsidR="006111BD" w:rsidRDefault="006111BD" w:rsidP="00F02FE8">
      <w:pPr>
        <w:spacing w:line="240" w:lineRule="auto"/>
      </w:pPr>
      <w:r>
        <w:separator/>
      </w:r>
    </w:p>
    <w:p w14:paraId="25A96B29" w14:textId="77777777" w:rsidR="006111BD" w:rsidRDefault="006111BD"/>
    <w:p w14:paraId="6F80CB86" w14:textId="77777777" w:rsidR="006111BD" w:rsidRDefault="006111BD"/>
  </w:endnote>
  <w:endnote w:type="continuationSeparator" w:id="0">
    <w:p w14:paraId="7423EE20" w14:textId="77777777" w:rsidR="006111BD" w:rsidRDefault="006111BD" w:rsidP="00F02FE8">
      <w:pPr>
        <w:spacing w:line="240" w:lineRule="auto"/>
      </w:pPr>
      <w:r>
        <w:continuationSeparator/>
      </w:r>
    </w:p>
    <w:p w14:paraId="21732EDF" w14:textId="77777777" w:rsidR="006111BD" w:rsidRDefault="006111BD"/>
    <w:p w14:paraId="5AD9F48E" w14:textId="77777777" w:rsidR="006111BD" w:rsidRDefault="006111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4495393"/>
      <w:docPartObj>
        <w:docPartGallery w:val="Page Numbers (Bottom of Page)"/>
        <w:docPartUnique/>
      </w:docPartObj>
    </w:sdtPr>
    <w:sdtEndPr>
      <w:rPr>
        <w:noProof/>
        <w:sz w:val="12"/>
        <w:szCs w:val="12"/>
      </w:rPr>
    </w:sdtEndPr>
    <w:sdtContent>
      <w:p w14:paraId="08528B27" w14:textId="77777777" w:rsidR="00D82695" w:rsidRDefault="00D82695" w:rsidP="00953640">
        <w:pPr>
          <w:pStyle w:val="Footer"/>
          <w:jc w:val="righ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022"/>
          <w:gridCol w:w="3020"/>
        </w:tblGrid>
        <w:tr w:rsidR="00D82695" w:rsidRPr="00D82695" w14:paraId="695E9663" w14:textId="77777777" w:rsidTr="0017021F">
          <w:tc>
            <w:tcPr>
              <w:tcW w:w="1667" w:type="pct"/>
              <w:vAlign w:val="center"/>
            </w:tcPr>
            <w:p w14:paraId="61B109BE" w14:textId="77777777" w:rsidR="00D82695" w:rsidRPr="00D82695" w:rsidRDefault="00D82695" w:rsidP="00D82695">
              <w:pPr>
                <w:pStyle w:val="Footer"/>
              </w:pPr>
            </w:p>
          </w:tc>
          <w:tc>
            <w:tcPr>
              <w:tcW w:w="1667" w:type="pct"/>
              <w:vAlign w:val="center"/>
            </w:tcPr>
            <w:p w14:paraId="5FCFAF2A" w14:textId="77777777" w:rsidR="00D82695" w:rsidRPr="00D82695" w:rsidRDefault="00D82695" w:rsidP="00D82695">
              <w:pPr>
                <w:pStyle w:val="Footer"/>
              </w:pPr>
            </w:p>
          </w:tc>
          <w:tc>
            <w:tcPr>
              <w:tcW w:w="1667" w:type="pct"/>
              <w:vAlign w:val="center"/>
            </w:tcPr>
            <w:p w14:paraId="3D7FC2BD" w14:textId="77777777" w:rsidR="00D82695" w:rsidRPr="00D82695" w:rsidRDefault="00D82695" w:rsidP="00D82695">
              <w:pPr>
                <w:pStyle w:val="FooterPageNumber"/>
              </w:pPr>
              <w:r w:rsidRPr="00D82695">
                <w:fldChar w:fldCharType="begin"/>
              </w:r>
              <w:r w:rsidRPr="00D82695">
                <w:instrText xml:space="preserve"> PAGE   \* MERGEFORMAT </w:instrText>
              </w:r>
              <w:r w:rsidRPr="00D82695">
                <w:fldChar w:fldCharType="separate"/>
              </w:r>
              <w:r w:rsidRPr="00D82695">
                <w:t>6</w:t>
              </w:r>
              <w:r w:rsidRPr="00D82695">
                <w:fldChar w:fldCharType="end"/>
              </w:r>
            </w:p>
          </w:tc>
        </w:tr>
      </w:tbl>
      <w:p w14:paraId="6CBC49F9" w14:textId="77777777" w:rsidR="004C58DE" w:rsidRPr="00D82695" w:rsidRDefault="008A4677" w:rsidP="00D82695">
        <w:pPr>
          <w:pStyle w:val="Footer"/>
          <w:rPr>
            <w:sz w:val="12"/>
            <w:szCs w:val="12"/>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330216"/>
      <w:docPartObj>
        <w:docPartGallery w:val="Page Numbers (Bottom of Page)"/>
        <w:docPartUnique/>
      </w:docPartObj>
    </w:sdtPr>
    <w:sdtEndPr>
      <w:rPr>
        <w:noProof/>
        <w:sz w:val="12"/>
        <w:szCs w:val="12"/>
      </w:rPr>
    </w:sdtEndPr>
    <w:sdtContent>
      <w:p w14:paraId="3442676C" w14:textId="77777777" w:rsidR="00CE41CF" w:rsidRDefault="00CE41CF" w:rsidP="00953640">
        <w:pPr>
          <w:pStyle w:val="Footer"/>
          <w:jc w:val="righ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022"/>
          <w:gridCol w:w="3020"/>
        </w:tblGrid>
        <w:tr w:rsidR="00CE41CF" w:rsidRPr="00D82695" w14:paraId="3C65590A" w14:textId="77777777" w:rsidTr="0017021F">
          <w:tc>
            <w:tcPr>
              <w:tcW w:w="1667" w:type="pct"/>
              <w:vAlign w:val="center"/>
            </w:tcPr>
            <w:p w14:paraId="72866E9A" w14:textId="77777777" w:rsidR="00CE41CF" w:rsidRPr="00D82695" w:rsidRDefault="00CE41CF" w:rsidP="00D82695">
              <w:pPr>
                <w:pStyle w:val="Footer"/>
              </w:pPr>
            </w:p>
          </w:tc>
          <w:tc>
            <w:tcPr>
              <w:tcW w:w="1667" w:type="pct"/>
              <w:vAlign w:val="center"/>
            </w:tcPr>
            <w:p w14:paraId="2A4DF804" w14:textId="77777777" w:rsidR="00CE41CF" w:rsidRPr="00D82695" w:rsidRDefault="00CE41CF" w:rsidP="00D82695">
              <w:pPr>
                <w:pStyle w:val="Footer"/>
              </w:pPr>
            </w:p>
          </w:tc>
          <w:tc>
            <w:tcPr>
              <w:tcW w:w="1667" w:type="pct"/>
              <w:vAlign w:val="center"/>
            </w:tcPr>
            <w:p w14:paraId="0C3084DA" w14:textId="77777777" w:rsidR="00CE41CF" w:rsidRPr="00D82695" w:rsidRDefault="00CE41CF" w:rsidP="00D82695">
              <w:pPr>
                <w:pStyle w:val="FooterPageNumber"/>
              </w:pPr>
              <w:r w:rsidRPr="00D82695">
                <w:fldChar w:fldCharType="begin"/>
              </w:r>
              <w:r w:rsidRPr="00D82695">
                <w:instrText xml:space="preserve"> PAGE   \* MERGEFORMAT </w:instrText>
              </w:r>
              <w:r w:rsidRPr="00D82695">
                <w:fldChar w:fldCharType="separate"/>
              </w:r>
              <w:r w:rsidRPr="00D82695">
                <w:t>6</w:t>
              </w:r>
              <w:r w:rsidRPr="00D82695">
                <w:fldChar w:fldCharType="end"/>
              </w:r>
            </w:p>
          </w:tc>
        </w:tr>
      </w:tbl>
      <w:p w14:paraId="1715B72B" w14:textId="77777777" w:rsidR="00CE41CF" w:rsidRPr="00D82695" w:rsidRDefault="008A4677" w:rsidP="00D82695">
        <w:pPr>
          <w:pStyle w:val="Footer"/>
          <w:rPr>
            <w:sz w:val="12"/>
            <w:szCs w:val="1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7B236" w14:textId="77777777" w:rsidR="006111BD" w:rsidRDefault="006111BD" w:rsidP="00F02FE8">
      <w:pPr>
        <w:spacing w:line="240" w:lineRule="auto"/>
      </w:pPr>
      <w:r>
        <w:separator/>
      </w:r>
    </w:p>
    <w:p w14:paraId="774C9635" w14:textId="77777777" w:rsidR="006111BD" w:rsidRDefault="006111BD"/>
    <w:p w14:paraId="502B723A" w14:textId="77777777" w:rsidR="006111BD" w:rsidRDefault="006111BD"/>
  </w:footnote>
  <w:footnote w:type="continuationSeparator" w:id="0">
    <w:p w14:paraId="3AB0BEB1" w14:textId="77777777" w:rsidR="006111BD" w:rsidRDefault="006111BD" w:rsidP="00F02FE8">
      <w:pPr>
        <w:spacing w:line="240" w:lineRule="auto"/>
      </w:pPr>
      <w:r>
        <w:continuationSeparator/>
      </w:r>
    </w:p>
    <w:p w14:paraId="29906864" w14:textId="77777777" w:rsidR="006111BD" w:rsidRDefault="006111BD"/>
    <w:p w14:paraId="240180DF" w14:textId="77777777" w:rsidR="006111BD" w:rsidRDefault="006111BD"/>
  </w:footnote>
  <w:footnote w:id="1">
    <w:p w14:paraId="6052208E" w14:textId="6B1E614F" w:rsidR="001C5116" w:rsidRDefault="001C5116">
      <w:pPr>
        <w:pStyle w:val="FootnoteText"/>
      </w:pPr>
      <w:r>
        <w:rPr>
          <w:rStyle w:val="FootnoteReference"/>
        </w:rPr>
        <w:footnoteRef/>
      </w:r>
      <w:r>
        <w:t xml:space="preserve"> Tudeley Village: Public Transport Strategy, Hadlow Tonbridge</w:t>
      </w:r>
      <w:r w:rsidR="009A64BE">
        <w:t>. WSP.</w:t>
      </w:r>
      <w:r>
        <w:t xml:space="preserve"> (February 2019).</w:t>
      </w:r>
    </w:p>
  </w:footnote>
  <w:footnote w:id="2">
    <w:p w14:paraId="45EDB018" w14:textId="77777777" w:rsidR="00226E6F" w:rsidRDefault="00226E6F" w:rsidP="00226E6F">
      <w:pPr>
        <w:pStyle w:val="FootnoteText"/>
      </w:pPr>
      <w:r>
        <w:rPr>
          <w:rStyle w:val="FootnoteReference"/>
        </w:rPr>
        <w:footnoteRef/>
      </w:r>
      <w:r>
        <w:t xml:space="preserve"> Infrastructure Delivery Plan. Tunbridge Wells Borough Council. (2019)</w:t>
      </w:r>
    </w:p>
  </w:footnote>
  <w:footnote w:id="3">
    <w:p w14:paraId="7127727E" w14:textId="67A3C1D5" w:rsidR="009A64BE" w:rsidRDefault="009A64BE">
      <w:pPr>
        <w:pStyle w:val="FootnoteText"/>
      </w:pPr>
      <w:r>
        <w:rPr>
          <w:rStyle w:val="FootnoteReference"/>
        </w:rPr>
        <w:footnoteRef/>
      </w:r>
      <w:r>
        <w:t xml:space="preserve"> Buses in Urban Developments. Chartered Institute of Highways and Transportation (January 2018).</w:t>
      </w:r>
    </w:p>
  </w:footnote>
  <w:footnote w:id="4">
    <w:p w14:paraId="26BB2F09" w14:textId="53E497A7" w:rsidR="005D39DB" w:rsidRDefault="005D39DB">
      <w:pPr>
        <w:pStyle w:val="FootnoteText"/>
      </w:pPr>
      <w:r>
        <w:rPr>
          <w:rStyle w:val="FootnoteReference"/>
        </w:rPr>
        <w:footnoteRef/>
      </w:r>
      <w:r>
        <w:t xml:space="preserve"> Tunbridge Wells Bus Feasibility Study for Kent County Council. WSP (February 2023).</w:t>
      </w:r>
    </w:p>
  </w:footnote>
  <w:footnote w:id="5">
    <w:p w14:paraId="4ECD54D6" w14:textId="77777777" w:rsidR="00705051" w:rsidRDefault="00705051" w:rsidP="00705051">
      <w:pPr>
        <w:pStyle w:val="FootnoteText"/>
      </w:pPr>
      <w:r>
        <w:rPr>
          <w:rStyle w:val="FootnoteReference"/>
        </w:rPr>
        <w:footnoteRef/>
      </w:r>
      <w:r>
        <w:t xml:space="preserve"> DfT, annual (b), Table Bus0110, Local bus passenger journeys England 2014/15; and NTS (DfT, annual (a)) Table 9903, sum of 2014 and 2015.</w:t>
      </w:r>
    </w:p>
  </w:footnote>
  <w:footnote w:id="6">
    <w:p w14:paraId="136F2609" w14:textId="3CEC3D55" w:rsidR="00440A35" w:rsidRDefault="00440A35" w:rsidP="00440A35">
      <w:pPr>
        <w:pStyle w:val="FootnoteText"/>
      </w:pPr>
      <w:r>
        <w:rPr>
          <w:rStyle w:val="FootnoteReference"/>
        </w:rPr>
        <w:footnoteRef/>
      </w:r>
      <w:r>
        <w:t xml:space="preserve"> Walking and cycling statistics, England: 2021 Published 31 August 2022, Department for Transport. </w:t>
      </w:r>
    </w:p>
  </w:footnote>
  <w:footnote w:id="7">
    <w:p w14:paraId="69616DE8" w14:textId="43C3998C" w:rsidR="00301268" w:rsidRDefault="00301268" w:rsidP="00301268">
      <w:pPr>
        <w:pStyle w:val="FootnoteText"/>
      </w:pPr>
      <w:r>
        <w:rPr>
          <w:rStyle w:val="FootnoteReference"/>
        </w:rPr>
        <w:footnoteRef/>
      </w:r>
      <w:r>
        <w:t xml:space="preserve"> Local Cycling and Walking Infrastructure Plan: Phase 2. PJA on behalf of Tunbridge Wells Borough Council (March 2021).</w:t>
      </w:r>
    </w:p>
  </w:footnote>
  <w:footnote w:id="8">
    <w:p w14:paraId="45CE6FD3" w14:textId="14EE44D0" w:rsidR="00C43A1E" w:rsidRDefault="00C43A1E">
      <w:pPr>
        <w:pStyle w:val="FootnoteText"/>
      </w:pPr>
      <w:r>
        <w:rPr>
          <w:rStyle w:val="FootnoteReference"/>
        </w:rPr>
        <w:footnoteRef/>
      </w:r>
      <w:r>
        <w:t xml:space="preserve"> </w:t>
      </w:r>
      <w:r w:rsidRPr="00C43A1E">
        <w:t>https://democracy.tmbc.gov.uk/documents/s59880/Annex%203%20Active%20Travel%20Strategy%20Cycle%20Routes%20Consultation%20Document.pdf</w:t>
      </w:r>
    </w:p>
  </w:footnote>
  <w:footnote w:id="9">
    <w:p w14:paraId="054AA75C" w14:textId="237AFAA3" w:rsidR="00DB0A55" w:rsidRDefault="00DB0A55">
      <w:pPr>
        <w:pStyle w:val="FootnoteText"/>
      </w:pPr>
      <w:r>
        <w:rPr>
          <w:rStyle w:val="FootnoteReference"/>
        </w:rPr>
        <w:footnoteRef/>
      </w:r>
      <w:r>
        <w:t xml:space="preserve"> </w:t>
      </w:r>
      <w:r w:rsidR="00205F6B">
        <w:t xml:space="preserve">Core Document 3.66, </w:t>
      </w:r>
      <w:r>
        <w:t xml:space="preserve">Tunbridge Wells Local Plan: Paddock Wood and East Capel and Tudeley Village, Access and Movement Report (December 2020), Chapter 4, Page 17 </w:t>
      </w:r>
    </w:p>
  </w:footnote>
  <w:footnote w:id="10">
    <w:p w14:paraId="1995B4A6" w14:textId="185CBEB1" w:rsidR="00DB0A55" w:rsidRDefault="00DB0A55">
      <w:pPr>
        <w:pStyle w:val="FootnoteText"/>
      </w:pPr>
      <w:r>
        <w:rPr>
          <w:rStyle w:val="FootnoteReference"/>
        </w:rPr>
        <w:footnoteRef/>
      </w:r>
      <w:r>
        <w:t xml:space="preserve"> Tudeley Garden Village Regulation 19 Submission – Transport (May 2021), Appendix F (Approach to Vehicular Trip Analysis and Traffic Management), Page 120</w:t>
      </w:r>
    </w:p>
  </w:footnote>
  <w:footnote w:id="11">
    <w:p w14:paraId="6C2AC8EE" w14:textId="257E10B6" w:rsidR="007E539A" w:rsidRDefault="007E539A">
      <w:pPr>
        <w:pStyle w:val="FootnoteText"/>
      </w:pPr>
      <w:r>
        <w:rPr>
          <w:rStyle w:val="FootnoteReference"/>
        </w:rPr>
        <w:footnoteRef/>
      </w:r>
      <w:r>
        <w:t xml:space="preserve"> </w:t>
      </w:r>
      <w:r w:rsidR="00205F6B">
        <w:t xml:space="preserve">Core Document 3.66, </w:t>
      </w:r>
      <w:r>
        <w:t xml:space="preserve">Tunbridge Wells Local Plan: Paddock Wood and East Capel and Tudeley Village, Access and Movement Report (December 2020), Chapter 7, Table 7.2 </w:t>
      </w:r>
    </w:p>
  </w:footnote>
  <w:footnote w:id="12">
    <w:p w14:paraId="130D55C4" w14:textId="49B8646E" w:rsidR="006F38D5" w:rsidRDefault="006F38D5">
      <w:pPr>
        <w:pStyle w:val="FootnoteText"/>
      </w:pPr>
      <w:r>
        <w:rPr>
          <w:rStyle w:val="FootnoteReference"/>
        </w:rPr>
        <w:footnoteRef/>
      </w:r>
      <w:r>
        <w:t xml:space="preserve"> Tudeley Village, Commercial and Retail (Town Centre) Floorspace Assessment (March 2023)</w:t>
      </w:r>
    </w:p>
  </w:footnote>
  <w:footnote w:id="13">
    <w:p w14:paraId="46384C97" w14:textId="133F7FB7" w:rsidR="00127E31" w:rsidRDefault="00127E31">
      <w:pPr>
        <w:pStyle w:val="FootnoteText"/>
      </w:pPr>
      <w:r>
        <w:rPr>
          <w:rStyle w:val="FootnoteReference"/>
        </w:rPr>
        <w:footnoteRef/>
      </w:r>
      <w:r>
        <w:t xml:space="preserve"> ONS, Characteristics of Homeworkers, Great Britain: September 2022 and January 2023. Available at: </w:t>
      </w:r>
      <w:hyperlink r:id="rId1" w:history="1">
        <w:r w:rsidRPr="00BA36DC">
          <w:rPr>
            <w:rStyle w:val="Hyperlink"/>
          </w:rPr>
          <w:t>https://www.ons.gov.uk/employmentandlabourmarket/peopleinwork/employmentandemployeetypes/articles/characteristicsofhomeworkersgreatbritain/september2022tojanuary2023</w:t>
        </w:r>
      </w:hyperlink>
      <w:r>
        <w:t xml:space="preserve"> </w:t>
      </w:r>
    </w:p>
  </w:footnote>
  <w:footnote w:id="14">
    <w:p w14:paraId="381D65BC" w14:textId="6D922E0A" w:rsidR="00184FC3" w:rsidRDefault="00184FC3">
      <w:pPr>
        <w:pStyle w:val="FootnoteText"/>
      </w:pPr>
      <w:r>
        <w:rPr>
          <w:rStyle w:val="FootnoteReference"/>
        </w:rPr>
        <w:footnoteRef/>
      </w:r>
      <w:r>
        <w:t xml:space="preserve"> KCC Guide to Development Contributions and the Provision of Community Infrastructure (March 2007). Available at: </w:t>
      </w:r>
      <w:hyperlink r:id="rId2" w:history="1">
        <w:r w:rsidRPr="00BA36DC">
          <w:rPr>
            <w:rStyle w:val="Hyperlink"/>
          </w:rPr>
          <w:t>https://democracy.kent.gov.uk/documents/s3003/Appendix%20-%20Guide.pdf</w:t>
        </w:r>
      </w:hyperlink>
      <w:r>
        <w:t xml:space="preserve"> </w:t>
      </w:r>
    </w:p>
  </w:footnote>
  <w:footnote w:id="15">
    <w:p w14:paraId="75FCBABD" w14:textId="0388130A" w:rsidR="00184FC3" w:rsidRDefault="00184FC3">
      <w:pPr>
        <w:pStyle w:val="FootnoteText"/>
      </w:pPr>
      <w:r>
        <w:rPr>
          <w:rStyle w:val="FootnoteReference"/>
        </w:rPr>
        <w:footnoteRef/>
      </w:r>
      <w:r>
        <w:t xml:space="preserve"> Commissioning Secondary Provision in East Kent (Thanet District). Available at: </w:t>
      </w:r>
      <w:hyperlink r:id="rId3" w:history="1">
        <w:r w:rsidRPr="00BA36DC">
          <w:rPr>
            <w:rStyle w:val="Hyperlink"/>
          </w:rPr>
          <w:t>https://www.kent.gov.uk/__data/assets/pdf_file/0004/60439/Commissioning-secondary-education-provision-in-Thanet.pdf</w:t>
        </w:r>
      </w:hyperlink>
      <w:r>
        <w:t xml:space="preserve">   </w:t>
      </w:r>
    </w:p>
  </w:footnote>
  <w:footnote w:id="16">
    <w:p w14:paraId="64495353" w14:textId="3E62158B" w:rsidR="00AF7353" w:rsidRDefault="00AF7353">
      <w:pPr>
        <w:pStyle w:val="FootnoteText"/>
      </w:pPr>
      <w:r>
        <w:rPr>
          <w:rStyle w:val="FootnoteReference"/>
        </w:rPr>
        <w:footnoteRef/>
      </w:r>
      <w:r>
        <w:t xml:space="preserve"> Core Document 3.114, Local Plan Transport Evidence Base: Transport Assessment Report Update for the Pre-Submission Local Plan (March 2021).</w:t>
      </w:r>
    </w:p>
  </w:footnote>
  <w:footnote w:id="17">
    <w:p w14:paraId="030CC62E" w14:textId="4348F132" w:rsidR="00AF7353" w:rsidRDefault="00AF7353">
      <w:pPr>
        <w:pStyle w:val="FootnoteText"/>
      </w:pPr>
      <w:r>
        <w:rPr>
          <w:rStyle w:val="FootnoteReference"/>
        </w:rPr>
        <w:footnoteRef/>
      </w:r>
      <w:r>
        <w:t xml:space="preserve"> Examination Document PS_023, Local Plan – Transport Assessment Addendum 2</w:t>
      </w:r>
      <w:r w:rsidR="00810586">
        <w:t xml:space="preserve"> (October 2021).</w:t>
      </w:r>
    </w:p>
  </w:footnote>
  <w:footnote w:id="18">
    <w:p w14:paraId="479D4503" w14:textId="4284D76D" w:rsidR="00810586" w:rsidRDefault="00810586">
      <w:pPr>
        <w:pStyle w:val="FootnoteText"/>
      </w:pPr>
      <w:r>
        <w:rPr>
          <w:rStyle w:val="FootnoteReference"/>
        </w:rPr>
        <w:footnoteRef/>
      </w:r>
      <w:r>
        <w:t xml:space="preserve"> </w:t>
      </w:r>
      <w:r w:rsidR="00205F6B">
        <w:t xml:space="preserve">Core Document 3.66, </w:t>
      </w:r>
      <w:r>
        <w:t>Tunbridge Wells Local Plan: Paddock Wood and East Capel and Tudeley Village, Access and Movement Report (December 2020), Chapter 7, Section 7.7</w:t>
      </w:r>
    </w:p>
  </w:footnote>
  <w:footnote w:id="19">
    <w:p w14:paraId="0D28F2AA" w14:textId="467C7593" w:rsidR="00810586" w:rsidRDefault="00810586">
      <w:pPr>
        <w:pStyle w:val="FootnoteText"/>
      </w:pPr>
      <w:r>
        <w:rPr>
          <w:rStyle w:val="FootnoteReference"/>
        </w:rPr>
        <w:footnoteRef/>
      </w:r>
      <w:r>
        <w:t xml:space="preserve"> Tudeley Garden Village </w:t>
      </w:r>
      <w:r w:rsidR="00E43B9B">
        <w:t xml:space="preserve">Local Plan Promotion – Transport (March 2018), Page 16, Table 2 </w:t>
      </w:r>
    </w:p>
  </w:footnote>
  <w:footnote w:id="20">
    <w:p w14:paraId="7F935453" w14:textId="39F05878" w:rsidR="00AF6727" w:rsidRDefault="00AF6727">
      <w:pPr>
        <w:pStyle w:val="FootnoteText"/>
      </w:pPr>
      <w:r>
        <w:rPr>
          <w:rStyle w:val="FootnoteReference"/>
        </w:rPr>
        <w:footnoteRef/>
      </w:r>
      <w:r>
        <w:t xml:space="preserve"> Examination Document PS_023, Local Plan – Transport Assessment Addendum 2 (October 2021), Section 3.4, Page 23</w:t>
      </w:r>
    </w:p>
  </w:footnote>
  <w:footnote w:id="21">
    <w:p w14:paraId="39EC490F" w14:textId="5FF748C2" w:rsidR="00A40F89" w:rsidRDefault="00A40F89">
      <w:pPr>
        <w:pStyle w:val="FootnoteText"/>
      </w:pPr>
      <w:r>
        <w:rPr>
          <w:rStyle w:val="FootnoteReference"/>
        </w:rPr>
        <w:footnoteRef/>
      </w:r>
      <w:r>
        <w:t xml:space="preserve"> Examination Document PS_023, Local Plan – Transport Assessment Addendum 2 (October 2021), Paragraph 1.1.11, Page 4</w:t>
      </w:r>
    </w:p>
  </w:footnote>
  <w:footnote w:id="22">
    <w:p w14:paraId="12366221" w14:textId="4D82AD0D" w:rsidR="00A40F89" w:rsidRDefault="00A40F89" w:rsidP="00A40F89">
      <w:pPr>
        <w:pStyle w:val="FootnoteText"/>
      </w:pPr>
      <w:r>
        <w:rPr>
          <w:rStyle w:val="FootnoteReference"/>
        </w:rPr>
        <w:footnoteRef/>
      </w:r>
      <w:r>
        <w:t xml:space="preserve"> Examination Document PS_023, Local Plan – Transport Assessment Addendum 2 (October 2021), Table 3-5, Page 24</w:t>
      </w:r>
    </w:p>
    <w:p w14:paraId="62E08300" w14:textId="4B5F5232" w:rsidR="00A40F89" w:rsidRDefault="00A40F89">
      <w:pPr>
        <w:pStyle w:val="FootnoteText"/>
      </w:pPr>
    </w:p>
  </w:footnote>
  <w:footnote w:id="23">
    <w:p w14:paraId="4ACA3E65" w14:textId="28E767B3" w:rsidR="0006357B" w:rsidRDefault="0006357B">
      <w:pPr>
        <w:pStyle w:val="FootnoteText"/>
      </w:pPr>
      <w:r>
        <w:rPr>
          <w:rStyle w:val="FootnoteReference"/>
        </w:rPr>
        <w:footnoteRef/>
      </w:r>
      <w:r>
        <w:t xml:space="preserve"> APP/U1105/A/13/2208393, Land at Pinn Court Farm, Pinn Hill, Exeter EX1 3TG</w:t>
      </w:r>
    </w:p>
  </w:footnote>
  <w:footnote w:id="24">
    <w:p w14:paraId="42971827" w14:textId="41505FB5" w:rsidR="0006357B" w:rsidRDefault="0006357B">
      <w:pPr>
        <w:pStyle w:val="FootnoteText"/>
      </w:pPr>
      <w:r>
        <w:rPr>
          <w:rStyle w:val="FootnoteReference"/>
        </w:rPr>
        <w:footnoteRef/>
      </w:r>
      <w:r>
        <w:t xml:space="preserve"> APP/U2235/W/20/3254134, APP/U2235/W/20/3256952 Land West of Church Road, </w:t>
      </w:r>
      <w:proofErr w:type="spellStart"/>
      <w:r>
        <w:t>Otham</w:t>
      </w:r>
      <w:proofErr w:type="spellEnd"/>
      <w:r>
        <w:t>, Kent ME15 8SB</w:t>
      </w:r>
    </w:p>
  </w:footnote>
  <w:footnote w:id="25">
    <w:p w14:paraId="258F7961" w14:textId="3713B01C" w:rsidR="00370F1C" w:rsidRDefault="00370F1C">
      <w:pPr>
        <w:pStyle w:val="FootnoteText"/>
      </w:pPr>
      <w:r>
        <w:rPr>
          <w:rStyle w:val="FootnoteReference"/>
        </w:rPr>
        <w:footnoteRef/>
      </w:r>
      <w:r>
        <w:t xml:space="preserve"> Core Document 3.66, Tunbridge Wells Strategic Sites </w:t>
      </w:r>
      <w:proofErr w:type="spellStart"/>
      <w:r>
        <w:t>Masterplanning</w:t>
      </w:r>
      <w:proofErr w:type="spellEnd"/>
      <w:r>
        <w:t xml:space="preserve"> and Infrastructure Study (February 2021), </w:t>
      </w:r>
      <w:r w:rsidR="00686AD6">
        <w:t>Page 120</w:t>
      </w:r>
    </w:p>
  </w:footnote>
  <w:footnote w:id="26">
    <w:p w14:paraId="23FC5933" w14:textId="18D2A11B" w:rsidR="00686AD6" w:rsidRDefault="00686AD6">
      <w:pPr>
        <w:pStyle w:val="FootnoteText"/>
      </w:pPr>
      <w:r>
        <w:rPr>
          <w:rStyle w:val="FootnoteReference"/>
        </w:rPr>
        <w:footnoteRef/>
      </w:r>
      <w:r>
        <w:t xml:space="preserve"> Examination Document PS_023, Local Plan – Transport Assessment Addendum 2 (October 2021), Figure 2-2, Page 8</w:t>
      </w:r>
    </w:p>
  </w:footnote>
  <w:footnote w:id="27">
    <w:p w14:paraId="0B541C38" w14:textId="0147993A" w:rsidR="00686AD6" w:rsidRDefault="00686AD6">
      <w:pPr>
        <w:pStyle w:val="FootnoteText"/>
      </w:pPr>
      <w:r>
        <w:rPr>
          <w:rStyle w:val="FootnoteReference"/>
        </w:rPr>
        <w:footnoteRef/>
      </w:r>
      <w:r>
        <w:t xml:space="preserve"> Core Document 3.114, Local Plan Transport Evidence Base: Transport Assessment Report Update for the Pre-Submission Local Plan (March 2021), Figure 9-3, Page 65</w:t>
      </w:r>
    </w:p>
  </w:footnote>
  <w:footnote w:id="28">
    <w:p w14:paraId="01199ABE" w14:textId="56066C13" w:rsidR="00686AD6" w:rsidRDefault="00686AD6">
      <w:pPr>
        <w:pStyle w:val="FootnoteText"/>
      </w:pPr>
      <w:r>
        <w:rPr>
          <w:rStyle w:val="FootnoteReference"/>
        </w:rPr>
        <w:footnoteRef/>
      </w:r>
      <w:r>
        <w:t xml:space="preserve"> </w:t>
      </w:r>
      <w:r w:rsidR="00205F6B">
        <w:t xml:space="preserve">Core Document 3.66, </w:t>
      </w:r>
      <w:r>
        <w:t>Tunbridge Wells Local Plan: Paddock Wood and East Capel and Tudeley Village, Access and Movement Report (December 2020), Figure 7.2, Page 37</w:t>
      </w:r>
    </w:p>
  </w:footnote>
  <w:footnote w:id="29">
    <w:p w14:paraId="671FE4F3" w14:textId="3266CFFD" w:rsidR="00686AD6" w:rsidRDefault="00686AD6">
      <w:pPr>
        <w:pStyle w:val="FootnoteText"/>
      </w:pPr>
      <w:r>
        <w:rPr>
          <w:rStyle w:val="FootnoteReference"/>
        </w:rPr>
        <w:footnoteRef/>
      </w:r>
      <w:r>
        <w:t xml:space="preserve"> </w:t>
      </w:r>
      <w:r w:rsidR="00205F6B">
        <w:t xml:space="preserve"> Core Document 3.66, </w:t>
      </w:r>
      <w:r>
        <w:t xml:space="preserve">Tunbridge Wells Local Plan: Paddock Wood and East Capel and Tudeley Village, Access and Movement Report (December 2020), Figure </w:t>
      </w:r>
      <w:r w:rsidR="00205F6B">
        <w:t>6</w:t>
      </w:r>
      <w:r>
        <w:t xml:space="preserve">.2, Page </w:t>
      </w:r>
      <w:r w:rsidR="00205F6B">
        <w:t>25</w:t>
      </w:r>
    </w:p>
  </w:footnote>
  <w:footnote w:id="30">
    <w:p w14:paraId="0F1763CF" w14:textId="4E1003E6" w:rsidR="00205F6B" w:rsidRDefault="00205F6B">
      <w:pPr>
        <w:pStyle w:val="FootnoteText"/>
      </w:pPr>
      <w:r>
        <w:rPr>
          <w:rStyle w:val="FootnoteReference"/>
        </w:rPr>
        <w:footnoteRef/>
      </w:r>
      <w:r>
        <w:t xml:space="preserve"> Tudeley Garden Village Regulation 19 Submission – Transport (May 2021), Table 2-5, Page 8</w:t>
      </w:r>
    </w:p>
  </w:footnote>
  <w:footnote w:id="31">
    <w:p w14:paraId="10DDCD33" w14:textId="7E4F537A" w:rsidR="00205F6B" w:rsidRDefault="00205F6B">
      <w:pPr>
        <w:pStyle w:val="FootnoteText"/>
      </w:pPr>
      <w:r>
        <w:rPr>
          <w:rStyle w:val="FootnoteReference"/>
        </w:rPr>
        <w:footnoteRef/>
      </w:r>
      <w:r>
        <w:t xml:space="preserve"> Core Document 3.66, Tunbridge Wells Local Plan: Paddock Wood and East Capel and Tudeley Village, Access and Movement Report (December 2020), Table 7.6, Page 39 </w:t>
      </w:r>
    </w:p>
  </w:footnote>
  <w:footnote w:id="32">
    <w:p w14:paraId="3F3F9DDE" w14:textId="768F275F" w:rsidR="00205F6B" w:rsidRDefault="00205F6B">
      <w:pPr>
        <w:pStyle w:val="FootnoteText"/>
      </w:pPr>
      <w:r>
        <w:rPr>
          <w:rStyle w:val="FootnoteReference"/>
        </w:rPr>
        <w:footnoteRef/>
      </w:r>
      <w:r>
        <w:t xml:space="preserve"> Core Document 3.66, Tunbridge Wells Local Plan: Paddock Wood and East Capel and Tudeley Village, Access and Movement Report (December 2020), Table 6.6, Page 27</w:t>
      </w:r>
    </w:p>
  </w:footnote>
  <w:footnote w:id="33">
    <w:p w14:paraId="5E251E53" w14:textId="0A35634E" w:rsidR="00C30F67" w:rsidRDefault="00C30F67">
      <w:pPr>
        <w:pStyle w:val="FootnoteText"/>
      </w:pPr>
      <w:r>
        <w:rPr>
          <w:rStyle w:val="FootnoteReference"/>
        </w:rPr>
        <w:footnoteRef/>
      </w:r>
      <w:r>
        <w:t xml:space="preserve"> Core Document 3.66, Tunbridge Wells Strategic Sites </w:t>
      </w:r>
      <w:proofErr w:type="spellStart"/>
      <w:r>
        <w:t>Masterplanning</w:t>
      </w:r>
      <w:proofErr w:type="spellEnd"/>
      <w:r>
        <w:t xml:space="preserve"> and Infrastructure Study (February 2021), Table 15, Page 142</w:t>
      </w:r>
    </w:p>
  </w:footnote>
  <w:footnote w:id="34">
    <w:p w14:paraId="35C8F0B6" w14:textId="6B0E9471" w:rsidR="00C30F67" w:rsidRDefault="00C30F67">
      <w:pPr>
        <w:pStyle w:val="FootnoteText"/>
      </w:pPr>
      <w:r>
        <w:rPr>
          <w:rStyle w:val="FootnoteReference"/>
        </w:rPr>
        <w:footnoteRef/>
      </w:r>
      <w:r>
        <w:t xml:space="preserve"> Design Manual for Roads and Bridges, TA 46/97. Traffic Flow Ranges for Use in the Assessment of New Rural Roads, Table 2.1 </w:t>
      </w:r>
    </w:p>
  </w:footnote>
  <w:footnote w:id="35">
    <w:p w14:paraId="0276DA04" w14:textId="77777777" w:rsidR="00125C27" w:rsidRDefault="00125C27" w:rsidP="00125C27">
      <w:pPr>
        <w:pStyle w:val="FootnoteText"/>
      </w:pPr>
      <w:r>
        <w:rPr>
          <w:rStyle w:val="FootnoteReference"/>
        </w:rPr>
        <w:footnoteRef/>
      </w:r>
      <w:r>
        <w:t xml:space="preserve"> TWLP/022 Matter 6: Strategic Sites (Policies STR/SS1, STR/SS2, STR/SS3, STR/PW1 and STR/CA1) Issue 1: Tudeley Village (Policy STR/SS3), Appendix 4</w:t>
      </w:r>
    </w:p>
  </w:footnote>
  <w:footnote w:id="36">
    <w:p w14:paraId="6E7FB319" w14:textId="26A87269" w:rsidR="001F3280" w:rsidRDefault="001F3280">
      <w:pPr>
        <w:pStyle w:val="FootnoteText"/>
      </w:pPr>
      <w:r>
        <w:rPr>
          <w:rStyle w:val="FootnoteReference"/>
        </w:rPr>
        <w:footnoteRef/>
      </w:r>
      <w:r>
        <w:t xml:space="preserve"> Guidance Note on the Practical Implementation of the Decide and Provide Approach (February 2021)</w:t>
      </w:r>
    </w:p>
  </w:footnote>
  <w:footnote w:id="37">
    <w:p w14:paraId="2F4A70D8" w14:textId="42AE33F1" w:rsidR="0019583B" w:rsidRDefault="0019583B">
      <w:pPr>
        <w:pStyle w:val="FootnoteText"/>
      </w:pPr>
      <w:r>
        <w:rPr>
          <w:rStyle w:val="FootnoteReference"/>
        </w:rPr>
        <w:footnoteRef/>
      </w:r>
      <w:r>
        <w:t xml:space="preserve"> Department for Transport, Decarbonising Transport: a Better, Greener Britain (July 2021)</w:t>
      </w:r>
    </w:p>
  </w:footnote>
  <w:footnote w:id="38">
    <w:p w14:paraId="377D9429" w14:textId="23EBFC99" w:rsidR="003006D3" w:rsidRDefault="003006D3">
      <w:pPr>
        <w:pStyle w:val="FootnoteText"/>
      </w:pPr>
      <w:r>
        <w:rPr>
          <w:rStyle w:val="FootnoteReference"/>
        </w:rPr>
        <w:footnoteRef/>
      </w:r>
      <w:r>
        <w:t xml:space="preserve"> National Highways, Strategic Road Network and the Delivery of Sustainable Development (December 2022). Available at: </w:t>
      </w:r>
      <w:hyperlink r:id="rId4" w:history="1">
        <w:r w:rsidRPr="00BA36DC">
          <w:rPr>
            <w:rStyle w:val="Hyperlink"/>
          </w:rPr>
          <w:t>https://www.gov.uk/government/publications/strategic-road-network-and-the-delivery-of-sustainable-development/strategic-road-network-and-the-delivery-of-sustainable-development</w:t>
        </w:r>
      </w:hyperlink>
      <w:r>
        <w:t xml:space="preserve"> </w:t>
      </w:r>
    </w:p>
  </w:footnote>
  <w:footnote w:id="39">
    <w:p w14:paraId="23FC37ED" w14:textId="0D65DAD9" w:rsidR="003C6A72" w:rsidRDefault="003C6A72">
      <w:pPr>
        <w:pStyle w:val="FootnoteText"/>
      </w:pPr>
      <w:r>
        <w:rPr>
          <w:rStyle w:val="FootnoteReference"/>
        </w:rPr>
        <w:footnoteRef/>
      </w:r>
      <w:r>
        <w:t xml:space="preserve"> The Guardian, Welsh Road Building Projects Stopped after Failing Climate Review (February 2023). Available at: </w:t>
      </w:r>
      <w:hyperlink r:id="rId5" w:history="1">
        <w:r w:rsidRPr="00BA36DC">
          <w:rPr>
            <w:rStyle w:val="Hyperlink"/>
          </w:rPr>
          <w:t>https://www.theguardian.com/environment/2023/feb/14/welsh-road-building-projects-stopped-failing-climate-review</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6" w:space="0" w:color="8E8E8E" w:themeColor="text2"/>
        <w:right w:val="none" w:sz="0" w:space="0" w:color="auto"/>
        <w:insideV w:val="none" w:sz="0" w:space="0" w:color="auto"/>
      </w:tblBorders>
      <w:tblCellMar>
        <w:left w:w="0" w:type="dxa"/>
        <w:right w:w="0" w:type="dxa"/>
      </w:tblCellMar>
      <w:tblLook w:val="04A0" w:firstRow="1" w:lastRow="0" w:firstColumn="1" w:lastColumn="0" w:noHBand="0" w:noVBand="1"/>
    </w:tblPr>
    <w:tblGrid>
      <w:gridCol w:w="7869"/>
      <w:gridCol w:w="1195"/>
    </w:tblGrid>
    <w:tr w:rsidR="004C58DE" w14:paraId="4F0A7EC2" w14:textId="77777777" w:rsidTr="00DF0C0E">
      <w:tc>
        <w:tcPr>
          <w:tcW w:w="4341" w:type="pct"/>
          <w:tcMar>
            <w:top w:w="113" w:type="dxa"/>
            <w:bottom w:w="113" w:type="dxa"/>
          </w:tcMar>
        </w:tcPr>
        <w:sdt>
          <w:sdtPr>
            <w:alias w:val="Report Title"/>
            <w:tag w:val="Report Title"/>
            <w:id w:val="-1583756000"/>
            <w:dataBinding w:prefixMappings="xmlns:ns0='http://purl.org/dc/elements/1.1/' xmlns:ns1='http://schemas.openxmlformats.org/package/2006/metadata/core-properties' " w:xpath="/ns1:coreProperties[1]/ns0:title[1]" w:storeItemID="{6C3C8BC8-F283-45AE-878A-BAB7291924A1}"/>
            <w:text/>
          </w:sdtPr>
          <w:sdtEndPr/>
          <w:sdtContent>
            <w:p w14:paraId="097C6126" w14:textId="615A2E55" w:rsidR="004C58DE" w:rsidRDefault="00C94EB1" w:rsidP="006A23CC">
              <w:pPr>
                <w:pStyle w:val="Header"/>
              </w:pPr>
              <w:r>
                <w:t>Response to Inspector’s Initial Findings for the Tunbridge Wells Borough Local Plan</w:t>
              </w:r>
            </w:p>
          </w:sdtContent>
        </w:sdt>
        <w:sdt>
          <w:sdtPr>
            <w:rPr>
              <w:b/>
            </w:rPr>
            <w:alias w:val="Project Title"/>
            <w:tag w:val="Project Title"/>
            <w:id w:val="-1495413698"/>
            <w:dataBinding w:prefixMappings="xmlns:ns0='http://purl.org/dc/elements/1.1/' xmlns:ns1='http://schemas.openxmlformats.org/package/2006/metadata/core-properties' " w:xpath="/ns1:coreProperties[1]/ns0:subject[1]" w:storeItemID="{6C3C8BC8-F283-45AE-878A-BAB7291924A1}"/>
            <w:text/>
          </w:sdtPr>
          <w:sdtEndPr/>
          <w:sdtContent>
            <w:p w14:paraId="03A7B5EA" w14:textId="1D3AC35A" w:rsidR="004C58DE" w:rsidRPr="006106C7" w:rsidRDefault="00F45879" w:rsidP="006A23CC">
              <w:pPr>
                <w:pStyle w:val="Header"/>
                <w:rPr>
                  <w:b/>
                </w:rPr>
              </w:pPr>
              <w:r>
                <w:rPr>
                  <w:b/>
                </w:rPr>
                <w:t>Tudeley Garden Village</w:t>
              </w:r>
            </w:p>
          </w:sdtContent>
        </w:sdt>
      </w:tc>
      <w:tc>
        <w:tcPr>
          <w:tcW w:w="659" w:type="pct"/>
        </w:tcPr>
        <w:p w14:paraId="53FA93F2" w14:textId="77777777" w:rsidR="004C58DE" w:rsidRDefault="004C58DE" w:rsidP="006A23CC">
          <w:pPr>
            <w:pStyle w:val="Header"/>
            <w:jc w:val="right"/>
          </w:pPr>
        </w:p>
      </w:tc>
    </w:tr>
  </w:tbl>
  <w:p w14:paraId="60ADBC21" w14:textId="77777777" w:rsidR="004C58DE" w:rsidRPr="00753A17" w:rsidRDefault="004C58DE" w:rsidP="00382C63">
    <w:pPr>
      <w:pStyle w:val="Header"/>
    </w:pPr>
    <w:r>
      <w:rPr>
        <w:noProof/>
        <w:lang w:eastAsia="en-GB"/>
      </w:rPr>
      <w:drawing>
        <wp:anchor distT="0" distB="0" distL="114300" distR="114300" simplePos="0" relativeHeight="251683840" behindDoc="0" locked="0" layoutInCell="1" allowOverlap="1" wp14:anchorId="3237837C" wp14:editId="16BC054A">
          <wp:simplePos x="0" y="0"/>
          <wp:positionH relativeFrom="rightMargin">
            <wp:posOffset>-360045</wp:posOffset>
          </wp:positionH>
          <wp:positionV relativeFrom="page">
            <wp:posOffset>366395</wp:posOffset>
          </wp:positionV>
          <wp:extent cx="758880" cy="411510"/>
          <wp:effectExtent l="0" t="0" r="317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kides Associates Logo Master.eps"/>
                  <pic:cNvPicPr/>
                </pic:nvPicPr>
                <pic:blipFill>
                  <a:blip r:embed="rId1">
                    <a:extLst>
                      <a:ext uri="{28A0092B-C50C-407E-A947-70E740481C1C}">
                        <a14:useLocalDpi xmlns:a14="http://schemas.microsoft.com/office/drawing/2010/main" val="0"/>
                      </a:ext>
                    </a:extLst>
                  </a:blip>
                  <a:stretch>
                    <a:fillRect/>
                  </a:stretch>
                </pic:blipFill>
                <pic:spPr>
                  <a:xfrm>
                    <a:off x="0" y="0"/>
                    <a:ext cx="758880" cy="411510"/>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6" w:space="0" w:color="8E8E8E" w:themeColor="text2"/>
        <w:right w:val="none" w:sz="0" w:space="0" w:color="auto"/>
        <w:insideV w:val="none" w:sz="0" w:space="0" w:color="auto"/>
      </w:tblBorders>
      <w:tblCellMar>
        <w:left w:w="0" w:type="dxa"/>
        <w:right w:w="0" w:type="dxa"/>
      </w:tblCellMar>
      <w:tblLook w:val="04A0" w:firstRow="1" w:lastRow="0" w:firstColumn="1" w:lastColumn="0" w:noHBand="0" w:noVBand="1"/>
    </w:tblPr>
    <w:tblGrid>
      <w:gridCol w:w="7869"/>
      <w:gridCol w:w="1195"/>
    </w:tblGrid>
    <w:tr w:rsidR="00CE41CF" w14:paraId="060489F2" w14:textId="77777777" w:rsidTr="00DF0C0E">
      <w:tc>
        <w:tcPr>
          <w:tcW w:w="4341" w:type="pct"/>
          <w:tcMar>
            <w:top w:w="113" w:type="dxa"/>
            <w:bottom w:w="113" w:type="dxa"/>
          </w:tcMar>
        </w:tcPr>
        <w:sdt>
          <w:sdtPr>
            <w:alias w:val="Report Title"/>
            <w:tag w:val="Report Title"/>
            <w:id w:val="1311141154"/>
            <w:placeholder>
              <w:docPart w:val="94C2972E6A404F91885D65F6A80BB51E"/>
            </w:placeholder>
            <w:dataBinding w:prefixMappings="xmlns:ns0='http://purl.org/dc/elements/1.1/' xmlns:ns1='http://schemas.openxmlformats.org/package/2006/metadata/core-properties' " w:xpath="/ns1:coreProperties[1]/ns0:title[1]" w:storeItemID="{6C3C8BC8-F283-45AE-878A-BAB7291924A1}"/>
            <w:text/>
          </w:sdtPr>
          <w:sdtEndPr/>
          <w:sdtContent>
            <w:p w14:paraId="4D8320A8" w14:textId="16EECFD6" w:rsidR="00CE41CF" w:rsidRDefault="00C94EB1" w:rsidP="006A23CC">
              <w:pPr>
                <w:pStyle w:val="Header"/>
              </w:pPr>
              <w:r>
                <w:t>Response to Inspector’s Initial Findings for the Tunbridge Wells Borough Local Plan</w:t>
              </w:r>
            </w:p>
          </w:sdtContent>
        </w:sdt>
        <w:p w14:paraId="3A889C9B" w14:textId="4CAD1708" w:rsidR="00CE41CF" w:rsidRPr="006106C7" w:rsidRDefault="008A4677" w:rsidP="006A23CC">
          <w:pPr>
            <w:pStyle w:val="Header"/>
            <w:rPr>
              <w:b/>
            </w:rPr>
          </w:pPr>
          <w:sdt>
            <w:sdtPr>
              <w:rPr>
                <w:b/>
              </w:rPr>
              <w:alias w:val="Project Title"/>
              <w:tag w:val="Project Title"/>
              <w:id w:val="355854913"/>
              <w:placeholder>
                <w:docPart w:val="A93C3E15294245B8ACE46CD67CAAFC5B"/>
              </w:placeholder>
              <w:dataBinding w:prefixMappings="xmlns:ns0='http://purl.org/dc/elements/1.1/' xmlns:ns1='http://schemas.openxmlformats.org/package/2006/metadata/core-properties' " w:xpath="/ns1:coreProperties[1]/ns0:subject[1]" w:storeItemID="{6C3C8BC8-F283-45AE-878A-BAB7291924A1}"/>
              <w:text/>
            </w:sdtPr>
            <w:sdtEndPr/>
            <w:sdtContent>
              <w:r w:rsidR="00F45879">
                <w:rPr>
                  <w:b/>
                </w:rPr>
                <w:t>Tudeley Garden Village</w:t>
              </w:r>
            </w:sdtContent>
          </w:sdt>
          <w:r w:rsidR="00F45879">
            <w:rPr>
              <w:b/>
            </w:rPr>
            <w:t xml:space="preserve"> (TGV)</w:t>
          </w:r>
        </w:p>
      </w:tc>
      <w:tc>
        <w:tcPr>
          <w:tcW w:w="659" w:type="pct"/>
        </w:tcPr>
        <w:p w14:paraId="25ECBC67" w14:textId="77777777" w:rsidR="00CE41CF" w:rsidRDefault="00CE41CF" w:rsidP="006A23CC">
          <w:pPr>
            <w:pStyle w:val="Header"/>
            <w:jc w:val="right"/>
          </w:pPr>
        </w:p>
      </w:tc>
    </w:tr>
  </w:tbl>
  <w:p w14:paraId="772CCA2C" w14:textId="77777777" w:rsidR="00CE41CF" w:rsidRPr="00753A17" w:rsidRDefault="00CE41CF" w:rsidP="00382C63">
    <w:pPr>
      <w:pStyle w:val="Header"/>
    </w:pPr>
    <w:r>
      <w:rPr>
        <w:noProof/>
        <w:lang w:eastAsia="en-GB"/>
      </w:rPr>
      <w:drawing>
        <wp:anchor distT="0" distB="0" distL="114300" distR="114300" simplePos="0" relativeHeight="251685888" behindDoc="0" locked="0" layoutInCell="1" allowOverlap="1" wp14:anchorId="4623A82C" wp14:editId="60F773FA">
          <wp:simplePos x="0" y="0"/>
          <wp:positionH relativeFrom="rightMargin">
            <wp:posOffset>-360045</wp:posOffset>
          </wp:positionH>
          <wp:positionV relativeFrom="page">
            <wp:posOffset>366395</wp:posOffset>
          </wp:positionV>
          <wp:extent cx="758880" cy="41151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kides Associates Logo Master.eps"/>
                  <pic:cNvPicPr/>
                </pic:nvPicPr>
                <pic:blipFill>
                  <a:blip r:embed="rId1">
                    <a:extLst>
                      <a:ext uri="{28A0092B-C50C-407E-A947-70E740481C1C}">
                        <a14:useLocalDpi xmlns:a14="http://schemas.microsoft.com/office/drawing/2010/main" val="0"/>
                      </a:ext>
                    </a:extLst>
                  </a:blip>
                  <a:stretch>
                    <a:fillRect/>
                  </a:stretch>
                </pic:blipFill>
                <pic:spPr>
                  <a:xfrm>
                    <a:off x="0" y="0"/>
                    <a:ext cx="758880" cy="41151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7E46"/>
    <w:multiLevelType w:val="multilevel"/>
    <w:tmpl w:val="DAC68202"/>
    <w:numStyleLink w:val="Markides2-TierNumbering"/>
  </w:abstractNum>
  <w:abstractNum w:abstractNumId="1" w15:restartNumberingAfterBreak="0">
    <w:nsid w:val="0831698B"/>
    <w:multiLevelType w:val="hybridMultilevel"/>
    <w:tmpl w:val="6B82C900"/>
    <w:lvl w:ilvl="0" w:tplc="56903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A7649"/>
    <w:multiLevelType w:val="multilevel"/>
    <w:tmpl w:val="DAC68202"/>
    <w:styleLink w:val="Markides2-TierNumbering"/>
    <w:lvl w:ilvl="0">
      <w:start w:val="1"/>
      <w:numFmt w:val="decimal"/>
      <w:pStyle w:val="Heading1"/>
      <w:lvlText w:val="%1."/>
      <w:lvlJc w:val="left"/>
      <w:pPr>
        <w:tabs>
          <w:tab w:val="num" w:pos="851"/>
        </w:tabs>
        <w:ind w:left="851" w:hanging="851"/>
      </w:pPr>
      <w:rPr>
        <w:rFonts w:hint="default"/>
      </w:rPr>
    </w:lvl>
    <w:lvl w:ilvl="1">
      <w:start w:val="1"/>
      <w:numFmt w:val="none"/>
      <w:pStyle w:val="Heading2"/>
      <w:lvlText w:val=""/>
      <w:lvlJc w:val="left"/>
      <w:pPr>
        <w:tabs>
          <w:tab w:val="num" w:pos="851"/>
        </w:tabs>
        <w:ind w:left="0" w:firstLine="851"/>
      </w:pPr>
      <w:rPr>
        <w:rFonts w:hint="default"/>
      </w:rPr>
    </w:lvl>
    <w:lvl w:ilvl="2">
      <w:start w:val="1"/>
      <w:numFmt w:val="decimal"/>
      <w:lvlRestart w:val="1"/>
      <w:pStyle w:val="BodyTextNumbered"/>
      <w:lvlText w:val="%1.%3"/>
      <w:lvlJc w:val="left"/>
      <w:pPr>
        <w:tabs>
          <w:tab w:val="num" w:pos="851"/>
        </w:tabs>
        <w:ind w:left="851" w:hanging="851"/>
      </w:pPr>
      <w:rPr>
        <w:rFonts w:hint="default"/>
      </w:rPr>
    </w:lvl>
    <w:lvl w:ilvl="3">
      <w:start w:val="1"/>
      <w:numFmt w:val="lowerLetter"/>
      <w:pStyle w:val="BodyTextNumbered2"/>
      <w:lvlText w:val="%4)"/>
      <w:lvlJc w:val="left"/>
      <w:pPr>
        <w:tabs>
          <w:tab w:val="num" w:pos="851"/>
        </w:tabs>
        <w:ind w:left="1418" w:hanging="567"/>
      </w:pPr>
      <w:rPr>
        <w:rFonts w:hint="default"/>
      </w:rPr>
    </w:lvl>
    <w:lvl w:ilvl="4">
      <w:start w:val="1"/>
      <w:numFmt w:val="lowerRoman"/>
      <w:pStyle w:val="BodyTextNumbered3"/>
      <w:lvlText w:val="%5)"/>
      <w:lvlJc w:val="left"/>
      <w:pPr>
        <w:ind w:left="1985"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F34518"/>
    <w:multiLevelType w:val="multilevel"/>
    <w:tmpl w:val="21CE2D2C"/>
    <w:name w:val="MarkidesNumber2"/>
    <w:lvl w:ilvl="0">
      <w:start w:val="1"/>
      <w:numFmt w:val="decimal"/>
      <w:lvlText w:val="%1."/>
      <w:lvlJc w:val="left"/>
      <w:pPr>
        <w:tabs>
          <w:tab w:val="num" w:pos="360"/>
        </w:tabs>
        <w:ind w:left="360" w:hanging="360"/>
      </w:pPr>
      <w:rPr>
        <w:rFonts w:ascii="Calibri" w:hAnsi="Calibri" w:hint="default"/>
        <w:b/>
        <w:i w:val="0"/>
        <w:vanish w:val="0"/>
        <w:color w:val="1B5294"/>
        <w:sz w:val="36"/>
      </w:rPr>
    </w:lvl>
    <w:lvl w:ilvl="1">
      <w:start w:val="1"/>
      <w:numFmt w:val="decimal"/>
      <w:isLgl/>
      <w:lvlText w:val="%1.%2"/>
      <w:lvlJc w:val="left"/>
      <w:pPr>
        <w:tabs>
          <w:tab w:val="num" w:pos="864"/>
        </w:tabs>
        <w:ind w:left="864" w:hanging="864"/>
      </w:pPr>
      <w:rPr>
        <w:rFonts w:hint="default"/>
      </w:rPr>
    </w:lvl>
    <w:lvl w:ilvl="2">
      <w:start w:val="1"/>
      <w:numFmt w:val="decimal"/>
      <w:lvlText w:val="%1.%2.%3"/>
      <w:lvlJc w:val="left"/>
      <w:pPr>
        <w:tabs>
          <w:tab w:val="num" w:pos="1944"/>
        </w:tabs>
        <w:ind w:left="1944" w:hanging="720"/>
      </w:pPr>
      <w:rPr>
        <w:rFonts w:hint="default"/>
      </w:rPr>
    </w:lvl>
    <w:lvl w:ilvl="3">
      <w:start w:val="1"/>
      <w:numFmt w:val="decimal"/>
      <w:lvlText w:val="(%4)"/>
      <w:lvlJc w:val="left"/>
      <w:pPr>
        <w:ind w:left="1454" w:hanging="360"/>
      </w:pPr>
      <w:rPr>
        <w:rFonts w:hint="default"/>
      </w:rPr>
    </w:lvl>
    <w:lvl w:ilvl="4">
      <w:start w:val="1"/>
      <w:numFmt w:val="lowerLetter"/>
      <w:lvlText w:val="(%5)"/>
      <w:lvlJc w:val="left"/>
      <w:pPr>
        <w:ind w:left="1814" w:hanging="360"/>
      </w:pPr>
      <w:rPr>
        <w:rFonts w:hint="default"/>
      </w:rPr>
    </w:lvl>
    <w:lvl w:ilvl="5">
      <w:start w:val="1"/>
      <w:numFmt w:val="lowerRoman"/>
      <w:lvlText w:val="(%6)"/>
      <w:lvlJc w:val="left"/>
      <w:pPr>
        <w:ind w:left="2174" w:hanging="360"/>
      </w:pPr>
      <w:rPr>
        <w:rFonts w:hint="default"/>
      </w:rPr>
    </w:lvl>
    <w:lvl w:ilvl="6">
      <w:start w:val="1"/>
      <w:numFmt w:val="decimal"/>
      <w:lvlText w:val="%7."/>
      <w:lvlJc w:val="left"/>
      <w:pPr>
        <w:ind w:left="2534" w:hanging="360"/>
      </w:pPr>
      <w:rPr>
        <w:rFonts w:hint="default"/>
      </w:rPr>
    </w:lvl>
    <w:lvl w:ilvl="7">
      <w:start w:val="1"/>
      <w:numFmt w:val="lowerLetter"/>
      <w:lvlText w:val="%8."/>
      <w:lvlJc w:val="left"/>
      <w:pPr>
        <w:ind w:left="2894" w:hanging="360"/>
      </w:pPr>
      <w:rPr>
        <w:rFonts w:hint="default"/>
      </w:rPr>
    </w:lvl>
    <w:lvl w:ilvl="8">
      <w:start w:val="1"/>
      <w:numFmt w:val="lowerRoman"/>
      <w:lvlText w:val="%9."/>
      <w:lvlJc w:val="left"/>
      <w:pPr>
        <w:ind w:left="3254" w:hanging="360"/>
      </w:pPr>
      <w:rPr>
        <w:rFonts w:hint="default"/>
      </w:rPr>
    </w:lvl>
  </w:abstractNum>
  <w:abstractNum w:abstractNumId="4" w15:restartNumberingAfterBreak="0">
    <w:nsid w:val="204108E1"/>
    <w:multiLevelType w:val="multilevel"/>
    <w:tmpl w:val="8960C508"/>
    <w:numStyleLink w:val="ListBullets"/>
  </w:abstractNum>
  <w:abstractNum w:abstractNumId="5" w15:restartNumberingAfterBreak="0">
    <w:nsid w:val="24451CFF"/>
    <w:multiLevelType w:val="multilevel"/>
    <w:tmpl w:val="A802DEC2"/>
    <w:numStyleLink w:val="Appendices"/>
  </w:abstractNum>
  <w:abstractNum w:abstractNumId="6" w15:restartNumberingAfterBreak="0">
    <w:nsid w:val="27BA4EA6"/>
    <w:multiLevelType w:val="hybridMultilevel"/>
    <w:tmpl w:val="EC2631CA"/>
    <w:lvl w:ilvl="0" w:tplc="4E1E617A">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68361A"/>
    <w:multiLevelType w:val="multilevel"/>
    <w:tmpl w:val="5D7AA47A"/>
    <w:numStyleLink w:val="ESHeadings"/>
  </w:abstractNum>
  <w:abstractNum w:abstractNumId="8" w15:restartNumberingAfterBreak="0">
    <w:nsid w:val="3A6B6CA7"/>
    <w:multiLevelType w:val="multilevel"/>
    <w:tmpl w:val="A802DEC2"/>
    <w:styleLink w:val="Appendices"/>
    <w:lvl w:ilvl="0">
      <w:start w:val="1"/>
      <w:numFmt w:val="upperLetter"/>
      <w:pStyle w:val="AppendixTitle"/>
      <w:suff w:val="nothing"/>
      <w:lvlText w:val="Appendix %1"/>
      <w:lvlJc w:val="left"/>
      <w:pPr>
        <w:ind w:left="0" w:firstLine="0"/>
      </w:pPr>
      <w:rPr>
        <w:rFonts w:hint="default"/>
      </w:rPr>
    </w:lvl>
    <w:lvl w:ilvl="1">
      <w:start w:val="1"/>
      <w:numFmt w:val="decimal"/>
      <w:pStyle w:val="AppendixHeading1"/>
      <w:lvlText w:val="A%2"/>
      <w:lvlJc w:val="left"/>
      <w:pPr>
        <w:ind w:left="851" w:hanging="851"/>
      </w:pPr>
      <w:rPr>
        <w:rFonts w:hint="default"/>
      </w:rPr>
    </w:lvl>
    <w:lvl w:ilvl="2">
      <w:start w:val="1"/>
      <w:numFmt w:val="decimal"/>
      <w:pStyle w:val="AppendixHeading2"/>
      <w:lvlText w:val="A%2.%3"/>
      <w:lvlJc w:val="left"/>
      <w:pPr>
        <w:ind w:left="851" w:hanging="851"/>
      </w:pPr>
      <w:rPr>
        <w:rFonts w:hint="default"/>
      </w:rPr>
    </w:lvl>
    <w:lvl w:ilvl="3">
      <w:start w:val="1"/>
      <w:numFmt w:val="lowerLetter"/>
      <w:pStyle w:val="AppendixHeading3"/>
      <w:lvlText w:val="%4)"/>
      <w:lvlJc w:val="left"/>
      <w:pPr>
        <w:ind w:left="1418"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B904E3C"/>
    <w:multiLevelType w:val="multilevel"/>
    <w:tmpl w:val="CCB6E1B6"/>
    <w:name w:val="MarkidesNumber"/>
    <w:lvl w:ilvl="0">
      <w:start w:val="1"/>
      <w:numFmt w:val="decimal"/>
      <w:lvlText w:val="%1."/>
      <w:lvlJc w:val="left"/>
      <w:pPr>
        <w:tabs>
          <w:tab w:val="num" w:pos="360"/>
        </w:tabs>
        <w:ind w:left="360" w:hanging="360"/>
      </w:pPr>
      <w:rPr>
        <w:rFonts w:ascii="Calibri" w:hAnsi="Calibri" w:hint="default"/>
        <w:b/>
        <w:i w:val="0"/>
        <w:vanish w:val="0"/>
        <w:color w:val="1B5294"/>
        <w:sz w:val="36"/>
      </w:rPr>
    </w:lvl>
    <w:lvl w:ilvl="1">
      <w:start w:val="1"/>
      <w:numFmt w:val="decimal"/>
      <w:isLgl/>
      <w:lvlText w:val="%1.%2"/>
      <w:lvlJc w:val="left"/>
      <w:pPr>
        <w:tabs>
          <w:tab w:val="num" w:pos="864"/>
        </w:tabs>
        <w:ind w:left="864" w:hanging="864"/>
      </w:pPr>
      <w:rPr>
        <w:rFonts w:hint="default"/>
      </w:rPr>
    </w:lvl>
    <w:lvl w:ilvl="2">
      <w:start w:val="1"/>
      <w:numFmt w:val="decimal"/>
      <w:lvlText w:val="%1.%2.%3"/>
      <w:lvlJc w:val="left"/>
      <w:pPr>
        <w:tabs>
          <w:tab w:val="num" w:pos="1512"/>
        </w:tabs>
        <w:ind w:left="1512" w:hanging="288"/>
      </w:pPr>
      <w:rPr>
        <w:rFonts w:hint="default"/>
      </w:rPr>
    </w:lvl>
    <w:lvl w:ilvl="3">
      <w:start w:val="1"/>
      <w:numFmt w:val="decimal"/>
      <w:lvlText w:val="(%4)"/>
      <w:lvlJc w:val="left"/>
      <w:pPr>
        <w:ind w:left="1454" w:hanging="360"/>
      </w:pPr>
      <w:rPr>
        <w:rFonts w:hint="default"/>
      </w:rPr>
    </w:lvl>
    <w:lvl w:ilvl="4">
      <w:start w:val="1"/>
      <w:numFmt w:val="lowerLetter"/>
      <w:lvlText w:val="(%5)"/>
      <w:lvlJc w:val="left"/>
      <w:pPr>
        <w:ind w:left="1814" w:hanging="360"/>
      </w:pPr>
      <w:rPr>
        <w:rFonts w:hint="default"/>
      </w:rPr>
    </w:lvl>
    <w:lvl w:ilvl="5">
      <w:start w:val="1"/>
      <w:numFmt w:val="lowerRoman"/>
      <w:lvlText w:val="(%6)"/>
      <w:lvlJc w:val="left"/>
      <w:pPr>
        <w:ind w:left="2174" w:hanging="360"/>
      </w:pPr>
      <w:rPr>
        <w:rFonts w:hint="default"/>
      </w:rPr>
    </w:lvl>
    <w:lvl w:ilvl="6">
      <w:start w:val="1"/>
      <w:numFmt w:val="decimal"/>
      <w:lvlText w:val="%7."/>
      <w:lvlJc w:val="left"/>
      <w:pPr>
        <w:ind w:left="2534" w:hanging="360"/>
      </w:pPr>
      <w:rPr>
        <w:rFonts w:hint="default"/>
      </w:rPr>
    </w:lvl>
    <w:lvl w:ilvl="7">
      <w:start w:val="1"/>
      <w:numFmt w:val="lowerLetter"/>
      <w:lvlText w:val="%8."/>
      <w:lvlJc w:val="left"/>
      <w:pPr>
        <w:ind w:left="2894" w:hanging="360"/>
      </w:pPr>
      <w:rPr>
        <w:rFonts w:hint="default"/>
      </w:rPr>
    </w:lvl>
    <w:lvl w:ilvl="8">
      <w:start w:val="1"/>
      <w:numFmt w:val="lowerRoman"/>
      <w:lvlText w:val="%9."/>
      <w:lvlJc w:val="left"/>
      <w:pPr>
        <w:ind w:left="3254" w:hanging="360"/>
      </w:pPr>
      <w:rPr>
        <w:rFonts w:hint="default"/>
      </w:rPr>
    </w:lvl>
  </w:abstractNum>
  <w:abstractNum w:abstractNumId="10" w15:restartNumberingAfterBreak="0">
    <w:nsid w:val="3EFB6FA7"/>
    <w:multiLevelType w:val="multilevel"/>
    <w:tmpl w:val="E174DE66"/>
    <w:styleLink w:val="MarkidesHeadings"/>
    <w:lvl w:ilvl="0">
      <w:start w:val="1"/>
      <w:numFmt w:val="decimal"/>
      <w:lvlText w:val="%1."/>
      <w:lvlJc w:val="left"/>
      <w:pPr>
        <w:tabs>
          <w:tab w:val="num" w:pos="851"/>
        </w:tabs>
        <w:ind w:left="851" w:hanging="851"/>
      </w:pPr>
      <w:rPr>
        <w:rFonts w:asciiTheme="majorHAnsi" w:hAnsiTheme="majorHAnsi" w:hint="default"/>
        <w:b/>
        <w:i w:val="0"/>
        <w:vanish w:val="0"/>
        <w:color w:val="1B5294" w:themeColor="accent1"/>
        <w:sz w:val="36"/>
      </w:rPr>
    </w:lvl>
    <w:lvl w:ilvl="1">
      <w:start w:val="1"/>
      <w:numFmt w:val="decimal"/>
      <w:isLg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lowerLetter"/>
      <w:lvlText w:val="%4)"/>
      <w:lvlJc w:val="left"/>
      <w:pPr>
        <w:tabs>
          <w:tab w:val="num" w:pos="1418"/>
        </w:tabs>
        <w:ind w:left="1418" w:hanging="567"/>
      </w:pPr>
      <w:rPr>
        <w:rFonts w:hint="default"/>
      </w:rPr>
    </w:lvl>
    <w:lvl w:ilvl="4">
      <w:start w:val="1"/>
      <w:numFmt w:val="lowerRoman"/>
      <w:lvlText w:val="%5)"/>
      <w:lvlJc w:val="left"/>
      <w:pPr>
        <w:tabs>
          <w:tab w:val="num" w:pos="1985"/>
        </w:tabs>
        <w:ind w:left="1985" w:hanging="567"/>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544539"/>
    <w:multiLevelType w:val="multilevel"/>
    <w:tmpl w:val="DAC68202"/>
    <w:numStyleLink w:val="Markides2-TierNumbering"/>
  </w:abstractNum>
  <w:abstractNum w:abstractNumId="12" w15:restartNumberingAfterBreak="0">
    <w:nsid w:val="4814680F"/>
    <w:multiLevelType w:val="multilevel"/>
    <w:tmpl w:val="13924AEA"/>
    <w:lvl w:ilvl="0">
      <w:start w:val="1"/>
      <w:numFmt w:val="upperLetter"/>
      <w:pStyle w:val="MKRevNum"/>
      <w:suff w:val="nothing"/>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FB8080A"/>
    <w:multiLevelType w:val="multilevel"/>
    <w:tmpl w:val="8960C508"/>
    <w:styleLink w:val="ListBullets"/>
    <w:lvl w:ilvl="0">
      <w:start w:val="1"/>
      <w:numFmt w:val="bullet"/>
      <w:pStyle w:val="ListBullet"/>
      <w:lvlText w:val=""/>
      <w:lvlJc w:val="left"/>
      <w:pPr>
        <w:tabs>
          <w:tab w:val="num" w:pos="1418"/>
        </w:tabs>
        <w:ind w:left="1418" w:hanging="567"/>
      </w:pPr>
      <w:rPr>
        <w:rFonts w:ascii="Symbol" w:hAnsi="Symbol" w:hint="default"/>
        <w:color w:val="1B5294" w:themeColor="accent1"/>
        <w:sz w:val="24"/>
      </w:rPr>
    </w:lvl>
    <w:lvl w:ilvl="1">
      <w:start w:val="1"/>
      <w:numFmt w:val="bullet"/>
      <w:pStyle w:val="ListBullet2"/>
      <w:lvlText w:val="o"/>
      <w:lvlJc w:val="left"/>
      <w:pPr>
        <w:tabs>
          <w:tab w:val="num" w:pos="1985"/>
        </w:tabs>
        <w:ind w:left="1985" w:hanging="567"/>
      </w:pPr>
      <w:rPr>
        <w:rFonts w:ascii="Courier New" w:hAnsi="Courier New" w:hint="default"/>
        <w:color w:val="1B5294" w:themeColor="accent1"/>
      </w:rPr>
    </w:lvl>
    <w:lvl w:ilvl="2">
      <w:start w:val="1"/>
      <w:numFmt w:val="bullet"/>
      <w:pStyle w:val="ListBullet3"/>
      <w:lvlText w:val=""/>
      <w:lvlJc w:val="left"/>
      <w:pPr>
        <w:tabs>
          <w:tab w:val="num" w:pos="2552"/>
        </w:tabs>
        <w:ind w:left="2552" w:hanging="567"/>
      </w:pPr>
      <w:rPr>
        <w:rFonts w:ascii="Wingdings" w:hAnsi="Wingdings" w:hint="default"/>
        <w:color w:val="1B5294" w:themeColor="accent1"/>
      </w:rPr>
    </w:lvl>
    <w:lvl w:ilvl="3">
      <w:start w:val="1"/>
      <w:numFmt w:val="bullet"/>
      <w:lvlText w:val=""/>
      <w:lvlJc w:val="left"/>
      <w:pPr>
        <w:ind w:left="2880" w:hanging="360"/>
      </w:pPr>
      <w:rPr>
        <w:rFonts w:ascii="Symbol" w:hAnsi="Symbol" w:hint="default"/>
        <w:color w:val="1B5294" w:themeColor="accent1"/>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EE83F5A"/>
    <w:multiLevelType w:val="multilevel"/>
    <w:tmpl w:val="5D7AA47A"/>
    <w:styleLink w:val="ESHeadings"/>
    <w:lvl w:ilvl="0">
      <w:start w:val="1"/>
      <w:numFmt w:val="none"/>
      <w:pStyle w:val="ESHeading1"/>
      <w:suff w:val="nothing"/>
      <w:lvlText w:val=""/>
      <w:lvlJc w:val="left"/>
      <w:pPr>
        <w:ind w:left="851" w:firstLine="0"/>
      </w:pPr>
      <w:rPr>
        <w:rFonts w:hint="default"/>
      </w:rPr>
    </w:lvl>
    <w:lvl w:ilvl="1">
      <w:start w:val="1"/>
      <w:numFmt w:val="none"/>
      <w:pStyle w:val="ESHeading2"/>
      <w:suff w:val="nothing"/>
      <w:lvlText w:val=""/>
      <w:lvlJc w:val="left"/>
      <w:pPr>
        <w:ind w:left="851" w:firstLine="0"/>
      </w:pPr>
      <w:rPr>
        <w:rFonts w:hint="default"/>
      </w:rPr>
    </w:lvl>
    <w:lvl w:ilvl="2">
      <w:start w:val="1"/>
      <w:numFmt w:val="none"/>
      <w:pStyle w:val="ESHeading3"/>
      <w:suff w:val="nothing"/>
      <w:lvlText w:val=""/>
      <w:lvlJc w:val="left"/>
      <w:pPr>
        <w:ind w:left="851" w:firstLine="0"/>
      </w:pPr>
      <w:rPr>
        <w:rFonts w:hint="default"/>
      </w:rPr>
    </w:lvl>
    <w:lvl w:ilvl="3">
      <w:start w:val="1"/>
      <w:numFmt w:val="lowerLetter"/>
      <w:pStyle w:val="ESNumbering"/>
      <w:lvlText w:val="%4)"/>
      <w:lvlJc w:val="left"/>
      <w:pPr>
        <w:ind w:left="1418"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46546C3"/>
    <w:multiLevelType w:val="hybridMultilevel"/>
    <w:tmpl w:val="EE54D4E0"/>
    <w:lvl w:ilvl="0" w:tplc="D91C8800">
      <w:start w:val="1"/>
      <w:numFmt w:val="bullet"/>
      <w:pStyle w:val="FactBox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6" w15:restartNumberingAfterBreak="0">
    <w:nsid w:val="71564D4E"/>
    <w:multiLevelType w:val="multilevel"/>
    <w:tmpl w:val="E65E59C4"/>
    <w:name w:val="MarkidesNumber3"/>
    <w:lvl w:ilvl="0">
      <w:start w:val="1"/>
      <w:numFmt w:val="decimal"/>
      <w:lvlText w:val="%1."/>
      <w:lvlJc w:val="left"/>
      <w:pPr>
        <w:tabs>
          <w:tab w:val="num" w:pos="360"/>
        </w:tabs>
        <w:ind w:left="360" w:hanging="360"/>
      </w:pPr>
      <w:rPr>
        <w:rFonts w:ascii="Calibri" w:hAnsi="Calibri" w:hint="default"/>
        <w:b/>
        <w:i w:val="0"/>
        <w:vanish w:val="0"/>
        <w:color w:val="1B5294"/>
        <w:sz w:val="36"/>
      </w:rPr>
    </w:lvl>
    <w:lvl w:ilvl="1">
      <w:start w:val="1"/>
      <w:numFmt w:val="decimal"/>
      <w:isLgl/>
      <w:lvlText w:val="%1.%2"/>
      <w:lvlJc w:val="left"/>
      <w:pPr>
        <w:tabs>
          <w:tab w:val="num" w:pos="864"/>
        </w:tabs>
        <w:ind w:left="864" w:hanging="864"/>
      </w:pPr>
      <w:rPr>
        <w:rFonts w:hint="default"/>
      </w:rPr>
    </w:lvl>
    <w:lvl w:ilvl="2">
      <w:start w:val="1"/>
      <w:numFmt w:val="decimal"/>
      <w:lvlText w:val="%1.%2.%3"/>
      <w:lvlJc w:val="left"/>
      <w:pPr>
        <w:tabs>
          <w:tab w:val="num" w:pos="1944"/>
        </w:tabs>
        <w:ind w:left="1944" w:hanging="720"/>
      </w:pPr>
      <w:rPr>
        <w:rFonts w:hint="default"/>
      </w:rPr>
    </w:lvl>
    <w:lvl w:ilvl="3">
      <w:start w:val="1"/>
      <w:numFmt w:val="decimal"/>
      <w:lvlText w:val="(%4)"/>
      <w:lvlJc w:val="left"/>
      <w:pPr>
        <w:ind w:left="1454" w:hanging="360"/>
      </w:pPr>
      <w:rPr>
        <w:rFonts w:hint="default"/>
      </w:rPr>
    </w:lvl>
    <w:lvl w:ilvl="4">
      <w:start w:val="1"/>
      <w:numFmt w:val="lowerLetter"/>
      <w:lvlText w:val="(%5)"/>
      <w:lvlJc w:val="left"/>
      <w:pPr>
        <w:ind w:left="1814" w:hanging="360"/>
      </w:pPr>
      <w:rPr>
        <w:rFonts w:hint="default"/>
      </w:rPr>
    </w:lvl>
    <w:lvl w:ilvl="5">
      <w:start w:val="1"/>
      <w:numFmt w:val="lowerRoman"/>
      <w:lvlText w:val="(%6)"/>
      <w:lvlJc w:val="left"/>
      <w:pPr>
        <w:ind w:left="2174" w:hanging="360"/>
      </w:pPr>
      <w:rPr>
        <w:rFonts w:hint="default"/>
      </w:rPr>
    </w:lvl>
    <w:lvl w:ilvl="6">
      <w:start w:val="1"/>
      <w:numFmt w:val="decimal"/>
      <w:lvlText w:val="%7."/>
      <w:lvlJc w:val="left"/>
      <w:pPr>
        <w:ind w:left="2534" w:hanging="360"/>
      </w:pPr>
      <w:rPr>
        <w:rFonts w:hint="default"/>
      </w:rPr>
    </w:lvl>
    <w:lvl w:ilvl="7">
      <w:start w:val="1"/>
      <w:numFmt w:val="lowerLetter"/>
      <w:lvlText w:val="%8."/>
      <w:lvlJc w:val="left"/>
      <w:pPr>
        <w:ind w:left="2894" w:hanging="360"/>
      </w:pPr>
      <w:rPr>
        <w:rFonts w:hint="default"/>
      </w:rPr>
    </w:lvl>
    <w:lvl w:ilvl="8">
      <w:start w:val="1"/>
      <w:numFmt w:val="lowerRoman"/>
      <w:lvlText w:val="%9."/>
      <w:lvlJc w:val="left"/>
      <w:pPr>
        <w:ind w:left="3254" w:hanging="360"/>
      </w:pPr>
      <w:rPr>
        <w:rFonts w:hint="default"/>
      </w:rPr>
    </w:lvl>
  </w:abstractNum>
  <w:abstractNum w:abstractNumId="17" w15:restartNumberingAfterBreak="0">
    <w:nsid w:val="772E6D49"/>
    <w:multiLevelType w:val="multilevel"/>
    <w:tmpl w:val="0A362B30"/>
    <w:lvl w:ilvl="0">
      <w:start w:val="1"/>
      <w:numFmt w:val="decimal"/>
      <w:lvlText w:val="%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hint="default"/>
      </w:rPr>
    </w:lvl>
    <w:lvl w:ilvl="2">
      <w:start w:val="1"/>
      <w:numFmt w:val="lowerLetter"/>
      <w:lvlText w:val="(%3)"/>
      <w:lvlJc w:val="left"/>
      <w:pPr>
        <w:tabs>
          <w:tab w:val="num" w:pos="1296"/>
        </w:tabs>
        <w:ind w:left="1296" w:hanging="432"/>
      </w:pPr>
      <w:rPr>
        <w:rFonts w:hint="default"/>
      </w:rPr>
    </w:lvl>
    <w:lvl w:ilvl="3">
      <w:start w:val="1"/>
      <w:numFmt w:val="decimal"/>
      <w:pStyle w:val="Heading4"/>
      <w:lvlText w:val="%1.%2.%3.%4"/>
      <w:lvlJc w:val="left"/>
      <w:pPr>
        <w:ind w:left="1728" w:hanging="864"/>
      </w:pPr>
      <w:rPr>
        <w:rFonts w:hint="default"/>
      </w:rPr>
    </w:lvl>
    <w:lvl w:ilvl="4">
      <w:start w:val="1"/>
      <w:numFmt w:val="decimal"/>
      <w:pStyle w:val="Heading5"/>
      <w:lvlText w:val="%1.%2.%3.%4.%5"/>
      <w:lvlJc w:val="left"/>
      <w:pPr>
        <w:ind w:left="1872" w:hanging="1008"/>
      </w:pPr>
      <w:rPr>
        <w:rFonts w:hint="default"/>
      </w:rPr>
    </w:lvl>
    <w:lvl w:ilvl="5">
      <w:start w:val="1"/>
      <w:numFmt w:val="decimal"/>
      <w:pStyle w:val="Heading6"/>
      <w:lvlText w:val="%1.%2.%3.%4.%5.%6"/>
      <w:lvlJc w:val="left"/>
      <w:pPr>
        <w:ind w:left="2016" w:hanging="1152"/>
      </w:pPr>
      <w:rPr>
        <w:rFonts w:hint="default"/>
      </w:rPr>
    </w:lvl>
    <w:lvl w:ilvl="6">
      <w:start w:val="1"/>
      <w:numFmt w:val="decimal"/>
      <w:pStyle w:val="Heading7"/>
      <w:lvlText w:val="%1.%2.%3.%4.%5.%6.%7"/>
      <w:lvlJc w:val="left"/>
      <w:pPr>
        <w:ind w:left="2160" w:hanging="1296"/>
      </w:pPr>
      <w:rPr>
        <w:rFonts w:hint="default"/>
      </w:rPr>
    </w:lvl>
    <w:lvl w:ilvl="7">
      <w:start w:val="1"/>
      <w:numFmt w:val="decimal"/>
      <w:pStyle w:val="Heading8"/>
      <w:lvlText w:val="%1.%2.%3.%4.%5.%6.%7.%8"/>
      <w:lvlJc w:val="left"/>
      <w:pPr>
        <w:ind w:left="2304" w:hanging="1440"/>
      </w:pPr>
      <w:rPr>
        <w:rFonts w:hint="default"/>
      </w:rPr>
    </w:lvl>
    <w:lvl w:ilvl="8">
      <w:start w:val="1"/>
      <w:numFmt w:val="decimal"/>
      <w:pStyle w:val="Heading9"/>
      <w:lvlText w:val="%1.%2.%3.%4.%5.%6.%7.%8.%9"/>
      <w:lvlJc w:val="left"/>
      <w:pPr>
        <w:ind w:left="2448" w:hanging="1584"/>
      </w:pPr>
      <w:rPr>
        <w:rFonts w:hint="default"/>
      </w:rPr>
    </w:lvl>
  </w:abstractNum>
  <w:num w:numId="1" w16cid:durableId="502160235">
    <w:abstractNumId w:val="17"/>
  </w:num>
  <w:num w:numId="2" w16cid:durableId="109394896">
    <w:abstractNumId w:val="10"/>
  </w:num>
  <w:num w:numId="3" w16cid:durableId="1042557721">
    <w:abstractNumId w:val="13"/>
  </w:num>
  <w:num w:numId="4" w16cid:durableId="525367200">
    <w:abstractNumId w:val="8"/>
  </w:num>
  <w:num w:numId="5" w16cid:durableId="83497939">
    <w:abstractNumId w:val="4"/>
  </w:num>
  <w:num w:numId="6" w16cid:durableId="1886598022">
    <w:abstractNumId w:val="14"/>
  </w:num>
  <w:num w:numId="7" w16cid:durableId="1342583000">
    <w:abstractNumId w:val="7"/>
  </w:num>
  <w:num w:numId="8" w16cid:durableId="123542984">
    <w:abstractNumId w:val="15"/>
  </w:num>
  <w:num w:numId="9" w16cid:durableId="152112020">
    <w:abstractNumId w:val="12"/>
  </w:num>
  <w:num w:numId="10" w16cid:durableId="1433818594">
    <w:abstractNumId w:val="2"/>
  </w:num>
  <w:num w:numId="11" w16cid:durableId="205801902">
    <w:abstractNumId w:val="11"/>
  </w:num>
  <w:num w:numId="12" w16cid:durableId="1622108298">
    <w:abstractNumId w:val="5"/>
    <w:lvlOverride w:ilvl="0">
      <w:lvl w:ilvl="0">
        <w:start w:val="1"/>
        <w:numFmt w:val="upperLetter"/>
        <w:pStyle w:val="AppendixTitle"/>
        <w:suff w:val="nothing"/>
        <w:lvlText w:val="Appendix %1"/>
        <w:lvlJc w:val="left"/>
        <w:pPr>
          <w:ind w:left="0" w:firstLine="0"/>
        </w:pPr>
        <w:rPr>
          <w:rFonts w:hint="default"/>
        </w:rPr>
      </w:lvl>
    </w:lvlOverride>
  </w:num>
  <w:num w:numId="13" w16cid:durableId="1647318384">
    <w:abstractNumId w:val="0"/>
  </w:num>
  <w:num w:numId="14" w16cid:durableId="795562890">
    <w:abstractNumId w:val="6"/>
  </w:num>
  <w:num w:numId="15" w16cid:durableId="2131195467">
    <w:abstractNumId w:val="1"/>
  </w:num>
  <w:num w:numId="16" w16cid:durableId="497692436">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EB1"/>
    <w:rsid w:val="0000265C"/>
    <w:rsid w:val="00004484"/>
    <w:rsid w:val="0001063E"/>
    <w:rsid w:val="00013E07"/>
    <w:rsid w:val="00015AD9"/>
    <w:rsid w:val="0002163F"/>
    <w:rsid w:val="000220DC"/>
    <w:rsid w:val="00023A68"/>
    <w:rsid w:val="00023E89"/>
    <w:rsid w:val="0002683D"/>
    <w:rsid w:val="0003078B"/>
    <w:rsid w:val="00031F25"/>
    <w:rsid w:val="00036C82"/>
    <w:rsid w:val="0003735E"/>
    <w:rsid w:val="00045697"/>
    <w:rsid w:val="000471B7"/>
    <w:rsid w:val="00047216"/>
    <w:rsid w:val="00052135"/>
    <w:rsid w:val="000532D9"/>
    <w:rsid w:val="000537BB"/>
    <w:rsid w:val="000554DD"/>
    <w:rsid w:val="000556EE"/>
    <w:rsid w:val="00056B11"/>
    <w:rsid w:val="00056C4A"/>
    <w:rsid w:val="00057192"/>
    <w:rsid w:val="000572B8"/>
    <w:rsid w:val="0006357B"/>
    <w:rsid w:val="00063BCE"/>
    <w:rsid w:val="00064FDD"/>
    <w:rsid w:val="000661C9"/>
    <w:rsid w:val="00066BFE"/>
    <w:rsid w:val="00073592"/>
    <w:rsid w:val="00074739"/>
    <w:rsid w:val="00075A23"/>
    <w:rsid w:val="0007763B"/>
    <w:rsid w:val="0008656A"/>
    <w:rsid w:val="00087B33"/>
    <w:rsid w:val="000A02E7"/>
    <w:rsid w:val="000A267F"/>
    <w:rsid w:val="000A3F2F"/>
    <w:rsid w:val="000A4E80"/>
    <w:rsid w:val="000A5F27"/>
    <w:rsid w:val="000A717D"/>
    <w:rsid w:val="000A7F77"/>
    <w:rsid w:val="000B197E"/>
    <w:rsid w:val="000B22AE"/>
    <w:rsid w:val="000B3F47"/>
    <w:rsid w:val="000C0DCA"/>
    <w:rsid w:val="000C1769"/>
    <w:rsid w:val="000C5C37"/>
    <w:rsid w:val="000C7239"/>
    <w:rsid w:val="000D107B"/>
    <w:rsid w:val="000D45A9"/>
    <w:rsid w:val="000D5900"/>
    <w:rsid w:val="000D5CFF"/>
    <w:rsid w:val="000D5E3A"/>
    <w:rsid w:val="000E1EBE"/>
    <w:rsid w:val="000E2D71"/>
    <w:rsid w:val="000E2E16"/>
    <w:rsid w:val="000E52BA"/>
    <w:rsid w:val="000F000C"/>
    <w:rsid w:val="000F0D11"/>
    <w:rsid w:val="000F2D29"/>
    <w:rsid w:val="00101066"/>
    <w:rsid w:val="00101BDD"/>
    <w:rsid w:val="00104F41"/>
    <w:rsid w:val="00107662"/>
    <w:rsid w:val="00120AEE"/>
    <w:rsid w:val="00125C27"/>
    <w:rsid w:val="00126295"/>
    <w:rsid w:val="001267F1"/>
    <w:rsid w:val="00126F16"/>
    <w:rsid w:val="00127E31"/>
    <w:rsid w:val="00130FCA"/>
    <w:rsid w:val="001317F3"/>
    <w:rsid w:val="001328EB"/>
    <w:rsid w:val="001401C3"/>
    <w:rsid w:val="001428E7"/>
    <w:rsid w:val="00143348"/>
    <w:rsid w:val="001466B3"/>
    <w:rsid w:val="00153BF7"/>
    <w:rsid w:val="001550B7"/>
    <w:rsid w:val="00160D5B"/>
    <w:rsid w:val="00161BA7"/>
    <w:rsid w:val="00167D99"/>
    <w:rsid w:val="00170D45"/>
    <w:rsid w:val="001722BA"/>
    <w:rsid w:val="0017316B"/>
    <w:rsid w:val="0017330B"/>
    <w:rsid w:val="00173C93"/>
    <w:rsid w:val="001746B8"/>
    <w:rsid w:val="00174DF6"/>
    <w:rsid w:val="00176B9A"/>
    <w:rsid w:val="00184FC3"/>
    <w:rsid w:val="00191CA9"/>
    <w:rsid w:val="0019392E"/>
    <w:rsid w:val="0019583B"/>
    <w:rsid w:val="001A00B8"/>
    <w:rsid w:val="001A0A9A"/>
    <w:rsid w:val="001A26B1"/>
    <w:rsid w:val="001A41FF"/>
    <w:rsid w:val="001A5386"/>
    <w:rsid w:val="001A5A42"/>
    <w:rsid w:val="001A5F02"/>
    <w:rsid w:val="001B1541"/>
    <w:rsid w:val="001B61CA"/>
    <w:rsid w:val="001C00F8"/>
    <w:rsid w:val="001C2F20"/>
    <w:rsid w:val="001C500E"/>
    <w:rsid w:val="001C5116"/>
    <w:rsid w:val="001C608E"/>
    <w:rsid w:val="001D19A1"/>
    <w:rsid w:val="001D1CC1"/>
    <w:rsid w:val="001D4D2B"/>
    <w:rsid w:val="001D5379"/>
    <w:rsid w:val="001D6317"/>
    <w:rsid w:val="001D6933"/>
    <w:rsid w:val="001E45AE"/>
    <w:rsid w:val="001E7943"/>
    <w:rsid w:val="001F3280"/>
    <w:rsid w:val="001F5370"/>
    <w:rsid w:val="001F564E"/>
    <w:rsid w:val="001F6176"/>
    <w:rsid w:val="00202817"/>
    <w:rsid w:val="0020351D"/>
    <w:rsid w:val="002039A5"/>
    <w:rsid w:val="002050CF"/>
    <w:rsid w:val="00205F6B"/>
    <w:rsid w:val="0021063A"/>
    <w:rsid w:val="00212A57"/>
    <w:rsid w:val="002140E2"/>
    <w:rsid w:val="00216A38"/>
    <w:rsid w:val="00221187"/>
    <w:rsid w:val="002223C1"/>
    <w:rsid w:val="002224B6"/>
    <w:rsid w:val="00226E6F"/>
    <w:rsid w:val="00237582"/>
    <w:rsid w:val="0024053D"/>
    <w:rsid w:val="002509DE"/>
    <w:rsid w:val="00255EEC"/>
    <w:rsid w:val="0025616A"/>
    <w:rsid w:val="0026341E"/>
    <w:rsid w:val="002649A0"/>
    <w:rsid w:val="00264D97"/>
    <w:rsid w:val="002658B0"/>
    <w:rsid w:val="00265A37"/>
    <w:rsid w:val="00272B30"/>
    <w:rsid w:val="00272CF3"/>
    <w:rsid w:val="00272E8F"/>
    <w:rsid w:val="002758B5"/>
    <w:rsid w:val="00280485"/>
    <w:rsid w:val="00283A72"/>
    <w:rsid w:val="0028450B"/>
    <w:rsid w:val="00286C77"/>
    <w:rsid w:val="002907B8"/>
    <w:rsid w:val="00290E0A"/>
    <w:rsid w:val="00293329"/>
    <w:rsid w:val="002939F5"/>
    <w:rsid w:val="002957F1"/>
    <w:rsid w:val="0029604C"/>
    <w:rsid w:val="002A14B0"/>
    <w:rsid w:val="002A75FB"/>
    <w:rsid w:val="002B2367"/>
    <w:rsid w:val="002B3145"/>
    <w:rsid w:val="002B328D"/>
    <w:rsid w:val="002C07BC"/>
    <w:rsid w:val="002C1CA6"/>
    <w:rsid w:val="002C3E63"/>
    <w:rsid w:val="002D2EF6"/>
    <w:rsid w:val="002D4FBE"/>
    <w:rsid w:val="002D5099"/>
    <w:rsid w:val="002E5739"/>
    <w:rsid w:val="002F3CF7"/>
    <w:rsid w:val="002F598B"/>
    <w:rsid w:val="002F774C"/>
    <w:rsid w:val="003006D3"/>
    <w:rsid w:val="00300D44"/>
    <w:rsid w:val="00301268"/>
    <w:rsid w:val="0030255D"/>
    <w:rsid w:val="00305393"/>
    <w:rsid w:val="0030757B"/>
    <w:rsid w:val="003109C6"/>
    <w:rsid w:val="00312F95"/>
    <w:rsid w:val="003141B9"/>
    <w:rsid w:val="00316E2E"/>
    <w:rsid w:val="00323B31"/>
    <w:rsid w:val="00326735"/>
    <w:rsid w:val="00330769"/>
    <w:rsid w:val="0033638B"/>
    <w:rsid w:val="00336F44"/>
    <w:rsid w:val="00337089"/>
    <w:rsid w:val="0034228E"/>
    <w:rsid w:val="003476C2"/>
    <w:rsid w:val="003506ED"/>
    <w:rsid w:val="00353A25"/>
    <w:rsid w:val="00353EB3"/>
    <w:rsid w:val="003552D8"/>
    <w:rsid w:val="00355535"/>
    <w:rsid w:val="00356489"/>
    <w:rsid w:val="00356B7C"/>
    <w:rsid w:val="003604B5"/>
    <w:rsid w:val="00366463"/>
    <w:rsid w:val="00367171"/>
    <w:rsid w:val="00367397"/>
    <w:rsid w:val="003706CF"/>
    <w:rsid w:val="00370F1C"/>
    <w:rsid w:val="00373B96"/>
    <w:rsid w:val="003750E4"/>
    <w:rsid w:val="003754D8"/>
    <w:rsid w:val="00375CBF"/>
    <w:rsid w:val="00380842"/>
    <w:rsid w:val="00382BB0"/>
    <w:rsid w:val="00382C63"/>
    <w:rsid w:val="00383029"/>
    <w:rsid w:val="0038344F"/>
    <w:rsid w:val="00384978"/>
    <w:rsid w:val="00386B91"/>
    <w:rsid w:val="00392828"/>
    <w:rsid w:val="00397F92"/>
    <w:rsid w:val="003A0AB8"/>
    <w:rsid w:val="003A332A"/>
    <w:rsid w:val="003A689C"/>
    <w:rsid w:val="003B33BD"/>
    <w:rsid w:val="003B3A44"/>
    <w:rsid w:val="003B6585"/>
    <w:rsid w:val="003B6B8A"/>
    <w:rsid w:val="003B6D8F"/>
    <w:rsid w:val="003C095A"/>
    <w:rsid w:val="003C220E"/>
    <w:rsid w:val="003C28E1"/>
    <w:rsid w:val="003C6A72"/>
    <w:rsid w:val="003C7E60"/>
    <w:rsid w:val="003D0795"/>
    <w:rsid w:val="003D341D"/>
    <w:rsid w:val="003D79A1"/>
    <w:rsid w:val="003D7ED7"/>
    <w:rsid w:val="003E01F5"/>
    <w:rsid w:val="003E0BEA"/>
    <w:rsid w:val="003E15B5"/>
    <w:rsid w:val="003F0668"/>
    <w:rsid w:val="003F4D0A"/>
    <w:rsid w:val="00401145"/>
    <w:rsid w:val="0040129B"/>
    <w:rsid w:val="00402AAF"/>
    <w:rsid w:val="004059F7"/>
    <w:rsid w:val="00405D05"/>
    <w:rsid w:val="00406083"/>
    <w:rsid w:val="004073AB"/>
    <w:rsid w:val="00407BFC"/>
    <w:rsid w:val="00407F5F"/>
    <w:rsid w:val="004117CA"/>
    <w:rsid w:val="0041626A"/>
    <w:rsid w:val="004163BB"/>
    <w:rsid w:val="00416D19"/>
    <w:rsid w:val="0042353A"/>
    <w:rsid w:val="00424658"/>
    <w:rsid w:val="004254F0"/>
    <w:rsid w:val="0042581F"/>
    <w:rsid w:val="0043015A"/>
    <w:rsid w:val="0043118B"/>
    <w:rsid w:val="004317E0"/>
    <w:rsid w:val="004324C1"/>
    <w:rsid w:val="00440A35"/>
    <w:rsid w:val="004457F7"/>
    <w:rsid w:val="00447091"/>
    <w:rsid w:val="004474EB"/>
    <w:rsid w:val="00455F7C"/>
    <w:rsid w:val="00457F0E"/>
    <w:rsid w:val="004603D4"/>
    <w:rsid w:val="00460E0B"/>
    <w:rsid w:val="0046204D"/>
    <w:rsid w:val="00462B65"/>
    <w:rsid w:val="00464107"/>
    <w:rsid w:val="004653E1"/>
    <w:rsid w:val="00465ACA"/>
    <w:rsid w:val="00467489"/>
    <w:rsid w:val="00472F01"/>
    <w:rsid w:val="004733BF"/>
    <w:rsid w:val="00474C3E"/>
    <w:rsid w:val="0047677F"/>
    <w:rsid w:val="004826CC"/>
    <w:rsid w:val="0048557B"/>
    <w:rsid w:val="00486021"/>
    <w:rsid w:val="004A0DC3"/>
    <w:rsid w:val="004A0FCA"/>
    <w:rsid w:val="004A54F6"/>
    <w:rsid w:val="004B2D65"/>
    <w:rsid w:val="004B7B38"/>
    <w:rsid w:val="004C0291"/>
    <w:rsid w:val="004C0524"/>
    <w:rsid w:val="004C2853"/>
    <w:rsid w:val="004C31F8"/>
    <w:rsid w:val="004C32F6"/>
    <w:rsid w:val="004C58DE"/>
    <w:rsid w:val="004C609D"/>
    <w:rsid w:val="004C693D"/>
    <w:rsid w:val="004D2945"/>
    <w:rsid w:val="004D6BD4"/>
    <w:rsid w:val="004E457A"/>
    <w:rsid w:val="004E6950"/>
    <w:rsid w:val="004F0464"/>
    <w:rsid w:val="004F0936"/>
    <w:rsid w:val="004F1E02"/>
    <w:rsid w:val="004F29CF"/>
    <w:rsid w:val="004F35E1"/>
    <w:rsid w:val="004F3F6E"/>
    <w:rsid w:val="00500CD7"/>
    <w:rsid w:val="00501FDC"/>
    <w:rsid w:val="00507F0D"/>
    <w:rsid w:val="00510E8A"/>
    <w:rsid w:val="00510FED"/>
    <w:rsid w:val="00511126"/>
    <w:rsid w:val="00517B72"/>
    <w:rsid w:val="0052000A"/>
    <w:rsid w:val="005247E6"/>
    <w:rsid w:val="00524F00"/>
    <w:rsid w:val="00530199"/>
    <w:rsid w:val="00532668"/>
    <w:rsid w:val="00535B22"/>
    <w:rsid w:val="0053695A"/>
    <w:rsid w:val="00541803"/>
    <w:rsid w:val="00542F77"/>
    <w:rsid w:val="00543441"/>
    <w:rsid w:val="0054489E"/>
    <w:rsid w:val="00544D5B"/>
    <w:rsid w:val="00547022"/>
    <w:rsid w:val="00547A51"/>
    <w:rsid w:val="00550637"/>
    <w:rsid w:val="0055372D"/>
    <w:rsid w:val="005543F9"/>
    <w:rsid w:val="00555BF1"/>
    <w:rsid w:val="005626CF"/>
    <w:rsid w:val="00571534"/>
    <w:rsid w:val="00571645"/>
    <w:rsid w:val="005753A0"/>
    <w:rsid w:val="00577511"/>
    <w:rsid w:val="00582BAB"/>
    <w:rsid w:val="005864F2"/>
    <w:rsid w:val="00590DAA"/>
    <w:rsid w:val="00593C6F"/>
    <w:rsid w:val="0059585F"/>
    <w:rsid w:val="005A095F"/>
    <w:rsid w:val="005A287E"/>
    <w:rsid w:val="005A3826"/>
    <w:rsid w:val="005A4443"/>
    <w:rsid w:val="005A525F"/>
    <w:rsid w:val="005A617C"/>
    <w:rsid w:val="005A61FF"/>
    <w:rsid w:val="005B42DE"/>
    <w:rsid w:val="005B53EE"/>
    <w:rsid w:val="005B58FD"/>
    <w:rsid w:val="005C03F3"/>
    <w:rsid w:val="005C2BD6"/>
    <w:rsid w:val="005C31ED"/>
    <w:rsid w:val="005D1AA4"/>
    <w:rsid w:val="005D39DB"/>
    <w:rsid w:val="005D4051"/>
    <w:rsid w:val="005D565A"/>
    <w:rsid w:val="005E1EA9"/>
    <w:rsid w:val="005E3DA1"/>
    <w:rsid w:val="005E3F49"/>
    <w:rsid w:val="005E41D7"/>
    <w:rsid w:val="005E5A8D"/>
    <w:rsid w:val="005E7A17"/>
    <w:rsid w:val="005F0421"/>
    <w:rsid w:val="005F6CEC"/>
    <w:rsid w:val="00600DF7"/>
    <w:rsid w:val="00601991"/>
    <w:rsid w:val="006020AC"/>
    <w:rsid w:val="00605BC6"/>
    <w:rsid w:val="00606F1D"/>
    <w:rsid w:val="006106C7"/>
    <w:rsid w:val="00610C69"/>
    <w:rsid w:val="006111BD"/>
    <w:rsid w:val="006202B4"/>
    <w:rsid w:val="00623B8B"/>
    <w:rsid w:val="006252C8"/>
    <w:rsid w:val="00625B18"/>
    <w:rsid w:val="00626099"/>
    <w:rsid w:val="00630384"/>
    <w:rsid w:val="00630F3C"/>
    <w:rsid w:val="0063149A"/>
    <w:rsid w:val="00632170"/>
    <w:rsid w:val="00636AD2"/>
    <w:rsid w:val="00637BD2"/>
    <w:rsid w:val="00640201"/>
    <w:rsid w:val="00640488"/>
    <w:rsid w:val="00640FA2"/>
    <w:rsid w:val="00644BD4"/>
    <w:rsid w:val="006475C1"/>
    <w:rsid w:val="0065300A"/>
    <w:rsid w:val="0065337A"/>
    <w:rsid w:val="00656252"/>
    <w:rsid w:val="006611CE"/>
    <w:rsid w:val="00664DDA"/>
    <w:rsid w:val="00671998"/>
    <w:rsid w:val="00671A3B"/>
    <w:rsid w:val="00677139"/>
    <w:rsid w:val="0067717A"/>
    <w:rsid w:val="00680523"/>
    <w:rsid w:val="006834D6"/>
    <w:rsid w:val="006845F8"/>
    <w:rsid w:val="00685B56"/>
    <w:rsid w:val="00686446"/>
    <w:rsid w:val="00686AD6"/>
    <w:rsid w:val="00690083"/>
    <w:rsid w:val="00692F8A"/>
    <w:rsid w:val="0069347C"/>
    <w:rsid w:val="0069422E"/>
    <w:rsid w:val="00695231"/>
    <w:rsid w:val="00696A23"/>
    <w:rsid w:val="00696DD2"/>
    <w:rsid w:val="00697655"/>
    <w:rsid w:val="006A03FF"/>
    <w:rsid w:val="006A0999"/>
    <w:rsid w:val="006A23CC"/>
    <w:rsid w:val="006A2717"/>
    <w:rsid w:val="006A4DE0"/>
    <w:rsid w:val="006A5EB9"/>
    <w:rsid w:val="006A7ED2"/>
    <w:rsid w:val="006B2F2A"/>
    <w:rsid w:val="006B4186"/>
    <w:rsid w:val="006C4304"/>
    <w:rsid w:val="006C7586"/>
    <w:rsid w:val="006C7AD2"/>
    <w:rsid w:val="006D185D"/>
    <w:rsid w:val="006D3B4F"/>
    <w:rsid w:val="006E29CC"/>
    <w:rsid w:val="006E2A56"/>
    <w:rsid w:val="006E4228"/>
    <w:rsid w:val="006E4611"/>
    <w:rsid w:val="006E5808"/>
    <w:rsid w:val="006E7EFB"/>
    <w:rsid w:val="006F0657"/>
    <w:rsid w:val="006F2C84"/>
    <w:rsid w:val="006F36D2"/>
    <w:rsid w:val="006F38D5"/>
    <w:rsid w:val="0070058D"/>
    <w:rsid w:val="00701093"/>
    <w:rsid w:val="00702653"/>
    <w:rsid w:val="00703FE5"/>
    <w:rsid w:val="00705051"/>
    <w:rsid w:val="00707DCB"/>
    <w:rsid w:val="00710DC7"/>
    <w:rsid w:val="00721722"/>
    <w:rsid w:val="00723235"/>
    <w:rsid w:val="00724403"/>
    <w:rsid w:val="007335A2"/>
    <w:rsid w:val="007376A7"/>
    <w:rsid w:val="00740A4A"/>
    <w:rsid w:val="00747A72"/>
    <w:rsid w:val="00753A17"/>
    <w:rsid w:val="00755634"/>
    <w:rsid w:val="00755AE4"/>
    <w:rsid w:val="00755E54"/>
    <w:rsid w:val="00757608"/>
    <w:rsid w:val="007605CF"/>
    <w:rsid w:val="0076099F"/>
    <w:rsid w:val="00760F79"/>
    <w:rsid w:val="0076151F"/>
    <w:rsid w:val="00763F46"/>
    <w:rsid w:val="00764FD0"/>
    <w:rsid w:val="007656D8"/>
    <w:rsid w:val="007673D6"/>
    <w:rsid w:val="00770FD2"/>
    <w:rsid w:val="00772702"/>
    <w:rsid w:val="00773507"/>
    <w:rsid w:val="00774314"/>
    <w:rsid w:val="00776B8B"/>
    <w:rsid w:val="00780131"/>
    <w:rsid w:val="0078477D"/>
    <w:rsid w:val="007866AC"/>
    <w:rsid w:val="00786EEE"/>
    <w:rsid w:val="00790101"/>
    <w:rsid w:val="007912E1"/>
    <w:rsid w:val="00791EF4"/>
    <w:rsid w:val="00793D20"/>
    <w:rsid w:val="0079533D"/>
    <w:rsid w:val="00795745"/>
    <w:rsid w:val="007A111D"/>
    <w:rsid w:val="007A18EC"/>
    <w:rsid w:val="007A637B"/>
    <w:rsid w:val="007A6833"/>
    <w:rsid w:val="007B354F"/>
    <w:rsid w:val="007B699C"/>
    <w:rsid w:val="007B72EC"/>
    <w:rsid w:val="007B7DA6"/>
    <w:rsid w:val="007C46A2"/>
    <w:rsid w:val="007D3BCD"/>
    <w:rsid w:val="007D3D75"/>
    <w:rsid w:val="007D44F6"/>
    <w:rsid w:val="007D5157"/>
    <w:rsid w:val="007D77E0"/>
    <w:rsid w:val="007E02FB"/>
    <w:rsid w:val="007E2687"/>
    <w:rsid w:val="007E43C9"/>
    <w:rsid w:val="007E539A"/>
    <w:rsid w:val="007F4BAB"/>
    <w:rsid w:val="007F4E78"/>
    <w:rsid w:val="007F56C7"/>
    <w:rsid w:val="007F5E83"/>
    <w:rsid w:val="007F7E42"/>
    <w:rsid w:val="008016A1"/>
    <w:rsid w:val="00810586"/>
    <w:rsid w:val="008117CC"/>
    <w:rsid w:val="008127D5"/>
    <w:rsid w:val="00814F75"/>
    <w:rsid w:val="00816430"/>
    <w:rsid w:val="008165CE"/>
    <w:rsid w:val="008210DE"/>
    <w:rsid w:val="00821911"/>
    <w:rsid w:val="00823722"/>
    <w:rsid w:val="00823732"/>
    <w:rsid w:val="00823C51"/>
    <w:rsid w:val="00824D61"/>
    <w:rsid w:val="00827534"/>
    <w:rsid w:val="0083179E"/>
    <w:rsid w:val="00833A04"/>
    <w:rsid w:val="00834DBB"/>
    <w:rsid w:val="0083598D"/>
    <w:rsid w:val="00836DA9"/>
    <w:rsid w:val="00841DB8"/>
    <w:rsid w:val="008466B5"/>
    <w:rsid w:val="00847E3E"/>
    <w:rsid w:val="00851C5E"/>
    <w:rsid w:val="00852394"/>
    <w:rsid w:val="00852931"/>
    <w:rsid w:val="00856045"/>
    <w:rsid w:val="00856832"/>
    <w:rsid w:val="0086048D"/>
    <w:rsid w:val="00861486"/>
    <w:rsid w:val="00862990"/>
    <w:rsid w:val="00871E88"/>
    <w:rsid w:val="008778A6"/>
    <w:rsid w:val="008803F3"/>
    <w:rsid w:val="00882DCA"/>
    <w:rsid w:val="00884DE7"/>
    <w:rsid w:val="00884F6D"/>
    <w:rsid w:val="008857E9"/>
    <w:rsid w:val="00885E69"/>
    <w:rsid w:val="008909CD"/>
    <w:rsid w:val="00892C5C"/>
    <w:rsid w:val="00893AC2"/>
    <w:rsid w:val="0089495C"/>
    <w:rsid w:val="00894E3F"/>
    <w:rsid w:val="00897F88"/>
    <w:rsid w:val="008A2227"/>
    <w:rsid w:val="008A302E"/>
    <w:rsid w:val="008A3FAF"/>
    <w:rsid w:val="008A4677"/>
    <w:rsid w:val="008A4CA1"/>
    <w:rsid w:val="008A547F"/>
    <w:rsid w:val="008A6322"/>
    <w:rsid w:val="008A77BA"/>
    <w:rsid w:val="008B1C36"/>
    <w:rsid w:val="008B5D8E"/>
    <w:rsid w:val="008B7521"/>
    <w:rsid w:val="008C4FB5"/>
    <w:rsid w:val="008C5A57"/>
    <w:rsid w:val="008D0002"/>
    <w:rsid w:val="008D256A"/>
    <w:rsid w:val="008D46E2"/>
    <w:rsid w:val="008E1430"/>
    <w:rsid w:val="008E161B"/>
    <w:rsid w:val="008E4DD2"/>
    <w:rsid w:val="008E621A"/>
    <w:rsid w:val="008F3B72"/>
    <w:rsid w:val="008F5C33"/>
    <w:rsid w:val="008F6157"/>
    <w:rsid w:val="008F63FA"/>
    <w:rsid w:val="0090042B"/>
    <w:rsid w:val="0090554D"/>
    <w:rsid w:val="00915356"/>
    <w:rsid w:val="009163CE"/>
    <w:rsid w:val="009173A4"/>
    <w:rsid w:val="009223E1"/>
    <w:rsid w:val="00922DED"/>
    <w:rsid w:val="00924851"/>
    <w:rsid w:val="00930BDC"/>
    <w:rsid w:val="0093184E"/>
    <w:rsid w:val="009324CD"/>
    <w:rsid w:val="00937F69"/>
    <w:rsid w:val="00944554"/>
    <w:rsid w:val="00950118"/>
    <w:rsid w:val="0095261E"/>
    <w:rsid w:val="00953640"/>
    <w:rsid w:val="00953642"/>
    <w:rsid w:val="009571CF"/>
    <w:rsid w:val="00970928"/>
    <w:rsid w:val="00976864"/>
    <w:rsid w:val="00987F89"/>
    <w:rsid w:val="00991037"/>
    <w:rsid w:val="009917C2"/>
    <w:rsid w:val="00992766"/>
    <w:rsid w:val="00992790"/>
    <w:rsid w:val="00993285"/>
    <w:rsid w:val="0099381E"/>
    <w:rsid w:val="00993CCD"/>
    <w:rsid w:val="00997FC3"/>
    <w:rsid w:val="009A0CDF"/>
    <w:rsid w:val="009A6050"/>
    <w:rsid w:val="009A64BE"/>
    <w:rsid w:val="009B1471"/>
    <w:rsid w:val="009B1DC5"/>
    <w:rsid w:val="009B2A73"/>
    <w:rsid w:val="009B7230"/>
    <w:rsid w:val="009D4307"/>
    <w:rsid w:val="009E0F56"/>
    <w:rsid w:val="009E286E"/>
    <w:rsid w:val="009E4001"/>
    <w:rsid w:val="009E40F8"/>
    <w:rsid w:val="009E4207"/>
    <w:rsid w:val="009E4B86"/>
    <w:rsid w:val="009E4EF9"/>
    <w:rsid w:val="009F20C1"/>
    <w:rsid w:val="009F2739"/>
    <w:rsid w:val="009F2823"/>
    <w:rsid w:val="009F46F6"/>
    <w:rsid w:val="009F47A6"/>
    <w:rsid w:val="00A01437"/>
    <w:rsid w:val="00A01CC7"/>
    <w:rsid w:val="00A03D12"/>
    <w:rsid w:val="00A04B1A"/>
    <w:rsid w:val="00A10C82"/>
    <w:rsid w:val="00A1317D"/>
    <w:rsid w:val="00A14D6B"/>
    <w:rsid w:val="00A15FF6"/>
    <w:rsid w:val="00A173B7"/>
    <w:rsid w:val="00A225E5"/>
    <w:rsid w:val="00A226D9"/>
    <w:rsid w:val="00A229A6"/>
    <w:rsid w:val="00A24ECF"/>
    <w:rsid w:val="00A27388"/>
    <w:rsid w:val="00A27919"/>
    <w:rsid w:val="00A320E3"/>
    <w:rsid w:val="00A33ACF"/>
    <w:rsid w:val="00A34609"/>
    <w:rsid w:val="00A37E44"/>
    <w:rsid w:val="00A40F89"/>
    <w:rsid w:val="00A41CD8"/>
    <w:rsid w:val="00A41F1D"/>
    <w:rsid w:val="00A42474"/>
    <w:rsid w:val="00A45BC4"/>
    <w:rsid w:val="00A4756A"/>
    <w:rsid w:val="00A55AE7"/>
    <w:rsid w:val="00A62261"/>
    <w:rsid w:val="00A65225"/>
    <w:rsid w:val="00A71171"/>
    <w:rsid w:val="00A73064"/>
    <w:rsid w:val="00A7349D"/>
    <w:rsid w:val="00A739EB"/>
    <w:rsid w:val="00A73CD2"/>
    <w:rsid w:val="00A74EC0"/>
    <w:rsid w:val="00A76053"/>
    <w:rsid w:val="00A77F35"/>
    <w:rsid w:val="00A82C54"/>
    <w:rsid w:val="00A83CC7"/>
    <w:rsid w:val="00A84F0D"/>
    <w:rsid w:val="00A87DEE"/>
    <w:rsid w:val="00A90521"/>
    <w:rsid w:val="00A92A8D"/>
    <w:rsid w:val="00A92D95"/>
    <w:rsid w:val="00A942FD"/>
    <w:rsid w:val="00A94DEE"/>
    <w:rsid w:val="00A9529C"/>
    <w:rsid w:val="00AA037C"/>
    <w:rsid w:val="00AA2FC4"/>
    <w:rsid w:val="00AA6DC1"/>
    <w:rsid w:val="00AA755C"/>
    <w:rsid w:val="00AB323D"/>
    <w:rsid w:val="00AB6306"/>
    <w:rsid w:val="00AB64B0"/>
    <w:rsid w:val="00AC518C"/>
    <w:rsid w:val="00AC5756"/>
    <w:rsid w:val="00AC6415"/>
    <w:rsid w:val="00AC731C"/>
    <w:rsid w:val="00AC7D60"/>
    <w:rsid w:val="00AD22F0"/>
    <w:rsid w:val="00AD7B08"/>
    <w:rsid w:val="00AE0675"/>
    <w:rsid w:val="00AF12D6"/>
    <w:rsid w:val="00AF2502"/>
    <w:rsid w:val="00AF2E28"/>
    <w:rsid w:val="00AF4FD0"/>
    <w:rsid w:val="00AF6727"/>
    <w:rsid w:val="00AF7353"/>
    <w:rsid w:val="00AF7A9D"/>
    <w:rsid w:val="00AF7CE0"/>
    <w:rsid w:val="00B048FC"/>
    <w:rsid w:val="00B05B3E"/>
    <w:rsid w:val="00B068D2"/>
    <w:rsid w:val="00B069AF"/>
    <w:rsid w:val="00B06D7D"/>
    <w:rsid w:val="00B10B27"/>
    <w:rsid w:val="00B12CB2"/>
    <w:rsid w:val="00B15C44"/>
    <w:rsid w:val="00B23880"/>
    <w:rsid w:val="00B245B1"/>
    <w:rsid w:val="00B24B59"/>
    <w:rsid w:val="00B3073D"/>
    <w:rsid w:val="00B3129D"/>
    <w:rsid w:val="00B32330"/>
    <w:rsid w:val="00B3287A"/>
    <w:rsid w:val="00B352DB"/>
    <w:rsid w:val="00B35C74"/>
    <w:rsid w:val="00B401F3"/>
    <w:rsid w:val="00B40795"/>
    <w:rsid w:val="00B430B8"/>
    <w:rsid w:val="00B462FD"/>
    <w:rsid w:val="00B468A4"/>
    <w:rsid w:val="00B520BB"/>
    <w:rsid w:val="00B535CA"/>
    <w:rsid w:val="00B55A43"/>
    <w:rsid w:val="00B56267"/>
    <w:rsid w:val="00B56B0D"/>
    <w:rsid w:val="00B62602"/>
    <w:rsid w:val="00B62F62"/>
    <w:rsid w:val="00B71A20"/>
    <w:rsid w:val="00B75EBB"/>
    <w:rsid w:val="00B776E6"/>
    <w:rsid w:val="00B837FB"/>
    <w:rsid w:val="00B86969"/>
    <w:rsid w:val="00B9083E"/>
    <w:rsid w:val="00B9540A"/>
    <w:rsid w:val="00B95C39"/>
    <w:rsid w:val="00B97488"/>
    <w:rsid w:val="00B97B49"/>
    <w:rsid w:val="00B97CDD"/>
    <w:rsid w:val="00BA02C4"/>
    <w:rsid w:val="00BA030D"/>
    <w:rsid w:val="00BA0952"/>
    <w:rsid w:val="00BA4221"/>
    <w:rsid w:val="00BA4408"/>
    <w:rsid w:val="00BA6632"/>
    <w:rsid w:val="00BB03AC"/>
    <w:rsid w:val="00BB170C"/>
    <w:rsid w:val="00BB397B"/>
    <w:rsid w:val="00BB7129"/>
    <w:rsid w:val="00BB73F2"/>
    <w:rsid w:val="00BC18F7"/>
    <w:rsid w:val="00BC4F66"/>
    <w:rsid w:val="00BC6271"/>
    <w:rsid w:val="00BF2A38"/>
    <w:rsid w:val="00BF3210"/>
    <w:rsid w:val="00BF56DD"/>
    <w:rsid w:val="00BF57EB"/>
    <w:rsid w:val="00BF5839"/>
    <w:rsid w:val="00BF663C"/>
    <w:rsid w:val="00BF7A1E"/>
    <w:rsid w:val="00C061DF"/>
    <w:rsid w:val="00C079E4"/>
    <w:rsid w:val="00C15771"/>
    <w:rsid w:val="00C17917"/>
    <w:rsid w:val="00C17A8C"/>
    <w:rsid w:val="00C201BE"/>
    <w:rsid w:val="00C228D2"/>
    <w:rsid w:val="00C24DFE"/>
    <w:rsid w:val="00C26F03"/>
    <w:rsid w:val="00C30F67"/>
    <w:rsid w:val="00C314EA"/>
    <w:rsid w:val="00C32510"/>
    <w:rsid w:val="00C334B3"/>
    <w:rsid w:val="00C375FD"/>
    <w:rsid w:val="00C40B3A"/>
    <w:rsid w:val="00C41448"/>
    <w:rsid w:val="00C43A1E"/>
    <w:rsid w:val="00C55815"/>
    <w:rsid w:val="00C61249"/>
    <w:rsid w:val="00C61AC3"/>
    <w:rsid w:val="00C65EC5"/>
    <w:rsid w:val="00C67A6F"/>
    <w:rsid w:val="00C7065D"/>
    <w:rsid w:val="00C725F2"/>
    <w:rsid w:val="00C73725"/>
    <w:rsid w:val="00C74DA7"/>
    <w:rsid w:val="00C77121"/>
    <w:rsid w:val="00C774C8"/>
    <w:rsid w:val="00C821D0"/>
    <w:rsid w:val="00C8233F"/>
    <w:rsid w:val="00C84732"/>
    <w:rsid w:val="00C85091"/>
    <w:rsid w:val="00C85A7B"/>
    <w:rsid w:val="00C879E0"/>
    <w:rsid w:val="00C90284"/>
    <w:rsid w:val="00C94E80"/>
    <w:rsid w:val="00C94EB1"/>
    <w:rsid w:val="00C95540"/>
    <w:rsid w:val="00C9784C"/>
    <w:rsid w:val="00CA0184"/>
    <w:rsid w:val="00CA0920"/>
    <w:rsid w:val="00CA0D61"/>
    <w:rsid w:val="00CA1C13"/>
    <w:rsid w:val="00CA3721"/>
    <w:rsid w:val="00CA4698"/>
    <w:rsid w:val="00CA51D2"/>
    <w:rsid w:val="00CA61F7"/>
    <w:rsid w:val="00CB0F57"/>
    <w:rsid w:val="00CB558B"/>
    <w:rsid w:val="00CB56E2"/>
    <w:rsid w:val="00CC02CB"/>
    <w:rsid w:val="00CC292C"/>
    <w:rsid w:val="00CC3053"/>
    <w:rsid w:val="00CC3221"/>
    <w:rsid w:val="00CC4020"/>
    <w:rsid w:val="00CC7086"/>
    <w:rsid w:val="00CD2A1B"/>
    <w:rsid w:val="00CD6A91"/>
    <w:rsid w:val="00CD79E1"/>
    <w:rsid w:val="00CD7AF3"/>
    <w:rsid w:val="00CE0394"/>
    <w:rsid w:val="00CE0440"/>
    <w:rsid w:val="00CE41CF"/>
    <w:rsid w:val="00CE5CED"/>
    <w:rsid w:val="00CF1FF5"/>
    <w:rsid w:val="00CF2EEB"/>
    <w:rsid w:val="00CF6CCF"/>
    <w:rsid w:val="00D03FC5"/>
    <w:rsid w:val="00D05BB5"/>
    <w:rsid w:val="00D06FC7"/>
    <w:rsid w:val="00D07B7D"/>
    <w:rsid w:val="00D10C35"/>
    <w:rsid w:val="00D115A1"/>
    <w:rsid w:val="00D1174B"/>
    <w:rsid w:val="00D11EA6"/>
    <w:rsid w:val="00D13A79"/>
    <w:rsid w:val="00D17258"/>
    <w:rsid w:val="00D1762B"/>
    <w:rsid w:val="00D20B6F"/>
    <w:rsid w:val="00D22DC2"/>
    <w:rsid w:val="00D24B91"/>
    <w:rsid w:val="00D2526A"/>
    <w:rsid w:val="00D2726E"/>
    <w:rsid w:val="00D30215"/>
    <w:rsid w:val="00D3241D"/>
    <w:rsid w:val="00D350B4"/>
    <w:rsid w:val="00D41456"/>
    <w:rsid w:val="00D43606"/>
    <w:rsid w:val="00D43C4D"/>
    <w:rsid w:val="00D53B20"/>
    <w:rsid w:val="00D541B8"/>
    <w:rsid w:val="00D56107"/>
    <w:rsid w:val="00D56316"/>
    <w:rsid w:val="00D631BE"/>
    <w:rsid w:val="00D67401"/>
    <w:rsid w:val="00D70241"/>
    <w:rsid w:val="00D712B8"/>
    <w:rsid w:val="00D754DE"/>
    <w:rsid w:val="00D767CA"/>
    <w:rsid w:val="00D767E9"/>
    <w:rsid w:val="00D818FA"/>
    <w:rsid w:val="00D82695"/>
    <w:rsid w:val="00D82C21"/>
    <w:rsid w:val="00D84221"/>
    <w:rsid w:val="00D85C87"/>
    <w:rsid w:val="00D90361"/>
    <w:rsid w:val="00D907AD"/>
    <w:rsid w:val="00D94C0A"/>
    <w:rsid w:val="00D9688E"/>
    <w:rsid w:val="00D9758B"/>
    <w:rsid w:val="00DA1AB8"/>
    <w:rsid w:val="00DA42BA"/>
    <w:rsid w:val="00DA6F2F"/>
    <w:rsid w:val="00DB066F"/>
    <w:rsid w:val="00DB069D"/>
    <w:rsid w:val="00DB0A55"/>
    <w:rsid w:val="00DB2CAE"/>
    <w:rsid w:val="00DB3CD0"/>
    <w:rsid w:val="00DB6CBB"/>
    <w:rsid w:val="00DC11CF"/>
    <w:rsid w:val="00DC3F7B"/>
    <w:rsid w:val="00DC6ABE"/>
    <w:rsid w:val="00DC7676"/>
    <w:rsid w:val="00DD00E9"/>
    <w:rsid w:val="00DD189D"/>
    <w:rsid w:val="00DD18EF"/>
    <w:rsid w:val="00DD1F02"/>
    <w:rsid w:val="00DD1FB3"/>
    <w:rsid w:val="00DE166E"/>
    <w:rsid w:val="00DE17D1"/>
    <w:rsid w:val="00DE506D"/>
    <w:rsid w:val="00DE5584"/>
    <w:rsid w:val="00DE5FF4"/>
    <w:rsid w:val="00DF0C0E"/>
    <w:rsid w:val="00DF1BC7"/>
    <w:rsid w:val="00DF3568"/>
    <w:rsid w:val="00DF5A86"/>
    <w:rsid w:val="00DF63CE"/>
    <w:rsid w:val="00E00A57"/>
    <w:rsid w:val="00E0185D"/>
    <w:rsid w:val="00E12F5F"/>
    <w:rsid w:val="00E13E26"/>
    <w:rsid w:val="00E15025"/>
    <w:rsid w:val="00E16D34"/>
    <w:rsid w:val="00E30A32"/>
    <w:rsid w:val="00E3174B"/>
    <w:rsid w:val="00E353D4"/>
    <w:rsid w:val="00E35A87"/>
    <w:rsid w:val="00E43B9B"/>
    <w:rsid w:val="00E45CA3"/>
    <w:rsid w:val="00E465DD"/>
    <w:rsid w:val="00E468E6"/>
    <w:rsid w:val="00E46A6B"/>
    <w:rsid w:val="00E501AD"/>
    <w:rsid w:val="00E53F35"/>
    <w:rsid w:val="00E54883"/>
    <w:rsid w:val="00E55700"/>
    <w:rsid w:val="00E55C33"/>
    <w:rsid w:val="00E55FFC"/>
    <w:rsid w:val="00E6461C"/>
    <w:rsid w:val="00E7044E"/>
    <w:rsid w:val="00E77308"/>
    <w:rsid w:val="00E812FE"/>
    <w:rsid w:val="00E84B77"/>
    <w:rsid w:val="00E85E0B"/>
    <w:rsid w:val="00E86FBE"/>
    <w:rsid w:val="00E92C5D"/>
    <w:rsid w:val="00E9391B"/>
    <w:rsid w:val="00E9592F"/>
    <w:rsid w:val="00E96AC6"/>
    <w:rsid w:val="00E977F8"/>
    <w:rsid w:val="00EA0C2A"/>
    <w:rsid w:val="00EA32BD"/>
    <w:rsid w:val="00EA4986"/>
    <w:rsid w:val="00EA556D"/>
    <w:rsid w:val="00EA6107"/>
    <w:rsid w:val="00EA6C90"/>
    <w:rsid w:val="00EA77AA"/>
    <w:rsid w:val="00EB08BE"/>
    <w:rsid w:val="00EB1AA3"/>
    <w:rsid w:val="00EB368C"/>
    <w:rsid w:val="00EB49AC"/>
    <w:rsid w:val="00EC2929"/>
    <w:rsid w:val="00EC35A6"/>
    <w:rsid w:val="00EC43C4"/>
    <w:rsid w:val="00EC4567"/>
    <w:rsid w:val="00EC47CA"/>
    <w:rsid w:val="00EC69B3"/>
    <w:rsid w:val="00ED02E4"/>
    <w:rsid w:val="00ED22C6"/>
    <w:rsid w:val="00ED78D7"/>
    <w:rsid w:val="00EE13CD"/>
    <w:rsid w:val="00EE1E9F"/>
    <w:rsid w:val="00EE73BB"/>
    <w:rsid w:val="00EF060D"/>
    <w:rsid w:val="00EF0DF2"/>
    <w:rsid w:val="00F0055E"/>
    <w:rsid w:val="00F01A52"/>
    <w:rsid w:val="00F02FE8"/>
    <w:rsid w:val="00F06262"/>
    <w:rsid w:val="00F077B3"/>
    <w:rsid w:val="00F1063E"/>
    <w:rsid w:val="00F120D9"/>
    <w:rsid w:val="00F1215F"/>
    <w:rsid w:val="00F140F9"/>
    <w:rsid w:val="00F16792"/>
    <w:rsid w:val="00F205B4"/>
    <w:rsid w:val="00F20F3C"/>
    <w:rsid w:val="00F232E1"/>
    <w:rsid w:val="00F2394F"/>
    <w:rsid w:val="00F243B6"/>
    <w:rsid w:val="00F26B27"/>
    <w:rsid w:val="00F334CB"/>
    <w:rsid w:val="00F340B9"/>
    <w:rsid w:val="00F37AAE"/>
    <w:rsid w:val="00F40912"/>
    <w:rsid w:val="00F409EE"/>
    <w:rsid w:val="00F40AC5"/>
    <w:rsid w:val="00F40C08"/>
    <w:rsid w:val="00F40C72"/>
    <w:rsid w:val="00F45879"/>
    <w:rsid w:val="00F46CFB"/>
    <w:rsid w:val="00F5002B"/>
    <w:rsid w:val="00F54188"/>
    <w:rsid w:val="00F612BB"/>
    <w:rsid w:val="00F6184C"/>
    <w:rsid w:val="00F62512"/>
    <w:rsid w:val="00F63282"/>
    <w:rsid w:val="00F64550"/>
    <w:rsid w:val="00F6693F"/>
    <w:rsid w:val="00F711F1"/>
    <w:rsid w:val="00F72A22"/>
    <w:rsid w:val="00F72B9D"/>
    <w:rsid w:val="00F77F69"/>
    <w:rsid w:val="00F81D1B"/>
    <w:rsid w:val="00F839F1"/>
    <w:rsid w:val="00F85A72"/>
    <w:rsid w:val="00F92C88"/>
    <w:rsid w:val="00FA4DB9"/>
    <w:rsid w:val="00FA5B52"/>
    <w:rsid w:val="00FB1AD0"/>
    <w:rsid w:val="00FB1F27"/>
    <w:rsid w:val="00FB2554"/>
    <w:rsid w:val="00FB6E59"/>
    <w:rsid w:val="00FB7640"/>
    <w:rsid w:val="00FC0B77"/>
    <w:rsid w:val="00FC429B"/>
    <w:rsid w:val="00FC444D"/>
    <w:rsid w:val="00FD1859"/>
    <w:rsid w:val="00FD1D68"/>
    <w:rsid w:val="00FE004E"/>
    <w:rsid w:val="00FE144B"/>
    <w:rsid w:val="00FE25F5"/>
    <w:rsid w:val="00FE26E2"/>
    <w:rsid w:val="00FE2A31"/>
    <w:rsid w:val="00FE2ADE"/>
    <w:rsid w:val="00FE5668"/>
    <w:rsid w:val="00FE6E33"/>
    <w:rsid w:val="00FF06D9"/>
    <w:rsid w:val="00FF1B46"/>
    <w:rsid w:val="00FF57CE"/>
    <w:rsid w:val="00FF7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CB713"/>
  <w14:defaultImageDpi w14:val="32767"/>
  <w15:chartTrackingRefBased/>
  <w15:docId w15:val="{EAB74803-7B89-48B3-9621-82EB45019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29"/>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3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8"/>
    <w:lsdException w:name="Intense Emphasis" w:semiHidden="1" w:uiPriority="38" w:qFormat="1"/>
    <w:lsdException w:name="Subtle Reference" w:semiHidden="1" w:uiPriority="38"/>
    <w:lsdException w:name="Intense Reference" w:semiHidden="1" w:uiPriority="38"/>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uiPriority w:val="29"/>
    <w:qFormat/>
    <w:rsid w:val="00DF1BC7"/>
    <w:rPr>
      <w:lang w:val="en-GB"/>
    </w:rPr>
  </w:style>
  <w:style w:type="paragraph" w:styleId="Heading1">
    <w:name w:val="heading 1"/>
    <w:basedOn w:val="Normal"/>
    <w:next w:val="Heading2"/>
    <w:link w:val="Heading1Char"/>
    <w:uiPriority w:val="2"/>
    <w:qFormat/>
    <w:rsid w:val="00EC69B3"/>
    <w:pPr>
      <w:keepNext/>
      <w:keepLines/>
      <w:numPr>
        <w:numId w:val="13"/>
      </w:numPr>
      <w:spacing w:after="120"/>
      <w:outlineLvl w:val="0"/>
    </w:pPr>
    <w:rPr>
      <w:rFonts w:asciiTheme="majorHAnsi" w:eastAsiaTheme="majorEastAsia" w:hAnsiTheme="majorHAnsi" w:cstheme="majorBidi"/>
      <w:b/>
      <w:color w:val="1B5294" w:themeColor="accent1"/>
      <w:sz w:val="36"/>
      <w:szCs w:val="32"/>
    </w:rPr>
  </w:style>
  <w:style w:type="paragraph" w:styleId="Heading2">
    <w:name w:val="heading 2"/>
    <w:basedOn w:val="Normal"/>
    <w:next w:val="BodyTextNumbered"/>
    <w:link w:val="Heading2Char"/>
    <w:uiPriority w:val="2"/>
    <w:qFormat/>
    <w:rsid w:val="00EC69B3"/>
    <w:pPr>
      <w:keepNext/>
      <w:keepLines/>
      <w:numPr>
        <w:ilvl w:val="1"/>
        <w:numId w:val="13"/>
      </w:numPr>
      <w:spacing w:before="180" w:after="120"/>
      <w:outlineLvl w:val="1"/>
    </w:pPr>
    <w:rPr>
      <w:rFonts w:asciiTheme="majorHAnsi" w:eastAsiaTheme="majorEastAsia" w:hAnsiTheme="majorHAnsi" w:cstheme="majorBidi"/>
      <w:b/>
      <w:color w:val="1B5294" w:themeColor="accent1"/>
      <w:sz w:val="32"/>
      <w:szCs w:val="26"/>
    </w:rPr>
  </w:style>
  <w:style w:type="paragraph" w:styleId="Heading3">
    <w:name w:val="heading 3"/>
    <w:basedOn w:val="Normal"/>
    <w:next w:val="BodyTextNumbered"/>
    <w:link w:val="Heading3Char"/>
    <w:uiPriority w:val="2"/>
    <w:qFormat/>
    <w:rsid w:val="004F3F6E"/>
    <w:pPr>
      <w:keepNext/>
      <w:keepLines/>
      <w:spacing w:before="40" w:after="120"/>
      <w:ind w:left="862"/>
      <w:outlineLvl w:val="2"/>
    </w:pPr>
    <w:rPr>
      <w:rFonts w:asciiTheme="majorHAnsi" w:eastAsiaTheme="majorEastAsia" w:hAnsiTheme="majorHAnsi" w:cstheme="majorBidi"/>
      <w:b/>
      <w:color w:val="1B5294" w:themeColor="accent1"/>
      <w:sz w:val="28"/>
    </w:rPr>
  </w:style>
  <w:style w:type="paragraph" w:styleId="Heading4">
    <w:name w:val="heading 4"/>
    <w:basedOn w:val="Normal"/>
    <w:next w:val="Normal"/>
    <w:link w:val="Heading4Char"/>
    <w:uiPriority w:val="9"/>
    <w:semiHidden/>
    <w:unhideWhenUsed/>
    <w:qFormat/>
    <w:rsid w:val="009B2A73"/>
    <w:pPr>
      <w:keepNext/>
      <w:keepLines/>
      <w:numPr>
        <w:ilvl w:val="3"/>
        <w:numId w:val="1"/>
      </w:numPr>
      <w:spacing w:before="40"/>
      <w:outlineLvl w:val="3"/>
    </w:pPr>
    <w:rPr>
      <w:rFonts w:asciiTheme="majorHAnsi" w:eastAsiaTheme="majorEastAsia" w:hAnsiTheme="majorHAnsi" w:cstheme="majorBidi"/>
      <w:i/>
      <w:iCs/>
      <w:color w:val="143D6E" w:themeColor="accent1" w:themeShade="BF"/>
    </w:rPr>
  </w:style>
  <w:style w:type="paragraph" w:styleId="Heading5">
    <w:name w:val="heading 5"/>
    <w:basedOn w:val="Normal"/>
    <w:next w:val="Normal"/>
    <w:link w:val="Heading5Char"/>
    <w:uiPriority w:val="9"/>
    <w:semiHidden/>
    <w:unhideWhenUsed/>
    <w:qFormat/>
    <w:rsid w:val="009B2A73"/>
    <w:pPr>
      <w:keepNext/>
      <w:keepLines/>
      <w:numPr>
        <w:ilvl w:val="4"/>
        <w:numId w:val="1"/>
      </w:numPr>
      <w:spacing w:before="40"/>
      <w:outlineLvl w:val="4"/>
    </w:pPr>
    <w:rPr>
      <w:rFonts w:asciiTheme="majorHAnsi" w:eastAsiaTheme="majorEastAsia" w:hAnsiTheme="majorHAnsi" w:cstheme="majorBidi"/>
      <w:color w:val="143D6E" w:themeColor="accent1" w:themeShade="BF"/>
    </w:rPr>
  </w:style>
  <w:style w:type="paragraph" w:styleId="Heading6">
    <w:name w:val="heading 6"/>
    <w:basedOn w:val="Normal"/>
    <w:next w:val="Normal"/>
    <w:link w:val="Heading6Char"/>
    <w:uiPriority w:val="9"/>
    <w:semiHidden/>
    <w:unhideWhenUsed/>
    <w:qFormat/>
    <w:rsid w:val="009B2A73"/>
    <w:pPr>
      <w:keepNext/>
      <w:keepLines/>
      <w:numPr>
        <w:ilvl w:val="5"/>
        <w:numId w:val="1"/>
      </w:numPr>
      <w:spacing w:before="40"/>
      <w:outlineLvl w:val="5"/>
    </w:pPr>
    <w:rPr>
      <w:rFonts w:asciiTheme="majorHAnsi" w:eastAsiaTheme="majorEastAsia" w:hAnsiTheme="majorHAnsi" w:cstheme="majorBidi"/>
      <w:color w:val="0D2849" w:themeColor="accent1" w:themeShade="7F"/>
    </w:rPr>
  </w:style>
  <w:style w:type="paragraph" w:styleId="Heading7">
    <w:name w:val="heading 7"/>
    <w:basedOn w:val="Normal"/>
    <w:next w:val="Normal"/>
    <w:link w:val="Heading7Char"/>
    <w:uiPriority w:val="9"/>
    <w:semiHidden/>
    <w:unhideWhenUsed/>
    <w:qFormat/>
    <w:rsid w:val="009B2A73"/>
    <w:pPr>
      <w:keepNext/>
      <w:keepLines/>
      <w:numPr>
        <w:ilvl w:val="6"/>
        <w:numId w:val="1"/>
      </w:numPr>
      <w:spacing w:before="40"/>
      <w:outlineLvl w:val="6"/>
    </w:pPr>
    <w:rPr>
      <w:rFonts w:asciiTheme="majorHAnsi" w:eastAsiaTheme="majorEastAsia" w:hAnsiTheme="majorHAnsi" w:cstheme="majorBidi"/>
      <w:i/>
      <w:iCs/>
      <w:color w:val="0D2849" w:themeColor="accent1" w:themeShade="7F"/>
    </w:rPr>
  </w:style>
  <w:style w:type="paragraph" w:styleId="Heading8">
    <w:name w:val="heading 8"/>
    <w:basedOn w:val="Normal"/>
    <w:next w:val="Normal"/>
    <w:link w:val="Heading8Char"/>
    <w:uiPriority w:val="9"/>
    <w:semiHidden/>
    <w:unhideWhenUsed/>
    <w:qFormat/>
    <w:rsid w:val="009B2A7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2A7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hidden/>
    <w:uiPriority w:val="99"/>
    <w:semiHidden/>
    <w:rsid w:val="00CA1C13"/>
    <w:rPr>
      <w:color w:val="808080"/>
    </w:rPr>
  </w:style>
  <w:style w:type="character" w:customStyle="1" w:styleId="Heading1Char">
    <w:name w:val="Heading 1 Char"/>
    <w:basedOn w:val="DefaultParagraphFont"/>
    <w:link w:val="Heading1"/>
    <w:uiPriority w:val="2"/>
    <w:rsid w:val="00FC429B"/>
    <w:rPr>
      <w:rFonts w:asciiTheme="majorHAnsi" w:eastAsiaTheme="majorEastAsia" w:hAnsiTheme="majorHAnsi" w:cstheme="majorBidi"/>
      <w:b/>
      <w:color w:val="1B5294" w:themeColor="accent1"/>
      <w:sz w:val="36"/>
      <w:szCs w:val="32"/>
    </w:rPr>
  </w:style>
  <w:style w:type="character" w:styleId="Strong">
    <w:name w:val="Strong"/>
    <w:basedOn w:val="DefaultParagraphFont"/>
    <w:uiPriority w:val="38"/>
    <w:semiHidden/>
    <w:qFormat/>
    <w:rsid w:val="00CA1C13"/>
    <w:rPr>
      <w:b/>
      <w:bCs/>
    </w:rPr>
  </w:style>
  <w:style w:type="paragraph" w:customStyle="1" w:styleId="CoverReportTitle">
    <w:name w:val="Cover Report Title"/>
    <w:basedOn w:val="Normal"/>
    <w:next w:val="CoverProjectTitle"/>
    <w:uiPriority w:val="21"/>
    <w:qFormat/>
    <w:rsid w:val="00555BF1"/>
    <w:pPr>
      <w:keepNext/>
      <w:spacing w:after="120" w:line="240" w:lineRule="auto"/>
    </w:pPr>
    <w:rPr>
      <w:color w:val="1B5294" w:themeColor="accent1"/>
      <w:sz w:val="36"/>
    </w:rPr>
  </w:style>
  <w:style w:type="paragraph" w:customStyle="1" w:styleId="CoverProjectTitle">
    <w:name w:val="Cover Project Title"/>
    <w:basedOn w:val="CoverReportTitle"/>
    <w:uiPriority w:val="21"/>
    <w:qFormat/>
    <w:rsid w:val="00DF1BC7"/>
    <w:pPr>
      <w:pBdr>
        <w:bottom w:val="single" w:sz="12" w:space="1" w:color="1B5294" w:themeColor="accent1"/>
      </w:pBdr>
    </w:pPr>
    <w:rPr>
      <w:color w:val="auto"/>
    </w:rPr>
  </w:style>
  <w:style w:type="table" w:styleId="TableGrid">
    <w:name w:val="Table Grid"/>
    <w:basedOn w:val="TableNormal"/>
    <w:rsid w:val="00D82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9"/>
    <w:unhideWhenUsed/>
    <w:rsid w:val="00680523"/>
    <w:pPr>
      <w:tabs>
        <w:tab w:val="center" w:pos="4513"/>
        <w:tab w:val="right" w:pos="9026"/>
      </w:tabs>
      <w:spacing w:line="240" w:lineRule="auto"/>
    </w:pPr>
  </w:style>
  <w:style w:type="character" w:customStyle="1" w:styleId="HeaderChar">
    <w:name w:val="Header Char"/>
    <w:basedOn w:val="DefaultParagraphFont"/>
    <w:link w:val="Header"/>
    <w:uiPriority w:val="29"/>
    <w:rsid w:val="00680523"/>
  </w:style>
  <w:style w:type="paragraph" w:styleId="Footer">
    <w:name w:val="footer"/>
    <w:basedOn w:val="Normal"/>
    <w:link w:val="FooterChar"/>
    <w:uiPriority w:val="99"/>
    <w:unhideWhenUsed/>
    <w:rsid w:val="00F02FE8"/>
    <w:pPr>
      <w:tabs>
        <w:tab w:val="center" w:pos="4513"/>
        <w:tab w:val="right" w:pos="9026"/>
      </w:tabs>
      <w:spacing w:line="240" w:lineRule="auto"/>
    </w:pPr>
  </w:style>
  <w:style w:type="character" w:customStyle="1" w:styleId="FooterChar">
    <w:name w:val="Footer Char"/>
    <w:basedOn w:val="DefaultParagraphFont"/>
    <w:link w:val="Footer"/>
    <w:uiPriority w:val="99"/>
    <w:rsid w:val="00CA4698"/>
    <w:rPr>
      <w:rFonts w:ascii="Calibri" w:hAnsi="Calibri"/>
      <w:sz w:val="22"/>
      <w:lang w:val="en-GB"/>
    </w:rPr>
  </w:style>
  <w:style w:type="paragraph" w:styleId="ListParagraph">
    <w:name w:val="List Paragraph"/>
    <w:basedOn w:val="Normal"/>
    <w:uiPriority w:val="34"/>
    <w:qFormat/>
    <w:rsid w:val="00A71171"/>
    <w:pPr>
      <w:ind w:left="720"/>
      <w:contextualSpacing/>
    </w:pPr>
  </w:style>
  <w:style w:type="paragraph" w:styleId="ListBullet">
    <w:name w:val="List Bullet"/>
    <w:basedOn w:val="Normal"/>
    <w:uiPriority w:val="14"/>
    <w:rsid w:val="00861486"/>
    <w:pPr>
      <w:numPr>
        <w:numId w:val="5"/>
      </w:numPr>
      <w:spacing w:after="240"/>
      <w:contextualSpacing/>
      <w:jc w:val="both"/>
    </w:pPr>
  </w:style>
  <w:style w:type="character" w:customStyle="1" w:styleId="Heading2Char">
    <w:name w:val="Heading 2 Char"/>
    <w:basedOn w:val="DefaultParagraphFont"/>
    <w:link w:val="Heading2"/>
    <w:uiPriority w:val="2"/>
    <w:rsid w:val="00FC429B"/>
    <w:rPr>
      <w:rFonts w:asciiTheme="majorHAnsi" w:eastAsiaTheme="majorEastAsia" w:hAnsiTheme="majorHAnsi" w:cstheme="majorBidi"/>
      <w:b/>
      <w:color w:val="1B5294" w:themeColor="accent1"/>
      <w:sz w:val="32"/>
      <w:szCs w:val="26"/>
    </w:rPr>
  </w:style>
  <w:style w:type="paragraph" w:styleId="Subtitle">
    <w:name w:val="Subtitle"/>
    <w:basedOn w:val="Normal"/>
    <w:next w:val="Normal"/>
    <w:link w:val="SubtitleChar"/>
    <w:uiPriority w:val="24"/>
    <w:semiHidden/>
    <w:qFormat/>
    <w:rsid w:val="00A71171"/>
    <w:pPr>
      <w:numPr>
        <w:ilvl w:val="1"/>
      </w:numPr>
      <w:spacing w:after="160"/>
    </w:pPr>
    <w:rPr>
      <w:rFonts w:eastAsiaTheme="minorEastAsia"/>
      <w:color w:val="5A5A5A" w:themeColor="text1" w:themeTint="A5"/>
      <w:spacing w:val="15"/>
    </w:rPr>
  </w:style>
  <w:style w:type="character" w:customStyle="1" w:styleId="Heading3Char">
    <w:name w:val="Heading 3 Char"/>
    <w:basedOn w:val="DefaultParagraphFont"/>
    <w:link w:val="Heading3"/>
    <w:uiPriority w:val="2"/>
    <w:rsid w:val="004F3F6E"/>
    <w:rPr>
      <w:rFonts w:asciiTheme="majorHAnsi" w:eastAsiaTheme="majorEastAsia" w:hAnsiTheme="majorHAnsi" w:cstheme="majorBidi"/>
      <w:b/>
      <w:color w:val="1B5294" w:themeColor="accent1"/>
      <w:sz w:val="28"/>
      <w:lang w:val="en-GB"/>
    </w:rPr>
  </w:style>
  <w:style w:type="paragraph" w:styleId="FootnoteText">
    <w:name w:val="footnote text"/>
    <w:basedOn w:val="Normal"/>
    <w:link w:val="FootnoteTextChar"/>
    <w:uiPriority w:val="99"/>
    <w:unhideWhenUsed/>
    <w:rsid w:val="00A33ACF"/>
    <w:pPr>
      <w:spacing w:line="240" w:lineRule="auto"/>
    </w:pPr>
    <w:rPr>
      <w:sz w:val="16"/>
    </w:rPr>
  </w:style>
  <w:style w:type="character" w:customStyle="1" w:styleId="FootnoteTextChar">
    <w:name w:val="Footnote Text Char"/>
    <w:basedOn w:val="DefaultParagraphFont"/>
    <w:link w:val="FootnoteText"/>
    <w:uiPriority w:val="99"/>
    <w:rsid w:val="00CA4698"/>
    <w:rPr>
      <w:rFonts w:ascii="Calibri" w:hAnsi="Calibri"/>
      <w:sz w:val="16"/>
      <w:lang w:val="en-GB"/>
    </w:rPr>
  </w:style>
  <w:style w:type="character" w:styleId="FootnoteReference">
    <w:name w:val="footnote reference"/>
    <w:basedOn w:val="DefaultParagraphFont"/>
    <w:uiPriority w:val="99"/>
    <w:unhideWhenUsed/>
    <w:rsid w:val="00A33ACF"/>
    <w:rPr>
      <w:vertAlign w:val="superscript"/>
    </w:rPr>
  </w:style>
  <w:style w:type="paragraph" w:customStyle="1" w:styleId="TableText">
    <w:name w:val="Table Text"/>
    <w:basedOn w:val="Normal"/>
    <w:link w:val="TableTextChar"/>
    <w:uiPriority w:val="13"/>
    <w:qFormat/>
    <w:rsid w:val="003C28E1"/>
  </w:style>
  <w:style w:type="paragraph" w:styleId="Caption">
    <w:name w:val="caption"/>
    <w:basedOn w:val="Normal"/>
    <w:next w:val="Normal"/>
    <w:uiPriority w:val="14"/>
    <w:qFormat/>
    <w:rsid w:val="004F3F6E"/>
    <w:pPr>
      <w:keepNext/>
      <w:tabs>
        <w:tab w:val="left" w:pos="2410"/>
      </w:tabs>
      <w:spacing w:before="360" w:after="120" w:line="240" w:lineRule="auto"/>
      <w:ind w:left="2268" w:hanging="1404"/>
    </w:pPr>
    <w:rPr>
      <w:b/>
      <w:iCs/>
      <w:color w:val="1B5294" w:themeColor="accent1"/>
      <w:sz w:val="24"/>
      <w:szCs w:val="18"/>
    </w:rPr>
  </w:style>
  <w:style w:type="character" w:customStyle="1" w:styleId="SubtitleChar">
    <w:name w:val="Subtitle Char"/>
    <w:basedOn w:val="DefaultParagraphFont"/>
    <w:link w:val="Subtitle"/>
    <w:uiPriority w:val="24"/>
    <w:semiHidden/>
    <w:rsid w:val="00AF12D6"/>
    <w:rPr>
      <w:rFonts w:eastAsiaTheme="minorEastAsia"/>
      <w:color w:val="5A5A5A" w:themeColor="text1" w:themeTint="A5"/>
      <w:spacing w:val="15"/>
      <w:sz w:val="22"/>
      <w:szCs w:val="22"/>
      <w:lang w:val="en-GB"/>
    </w:rPr>
  </w:style>
  <w:style w:type="table" w:styleId="GridTable1Light-Accent1">
    <w:name w:val="Grid Table 1 Light Accent 1"/>
    <w:basedOn w:val="TableNormal"/>
    <w:uiPriority w:val="46"/>
    <w:rsid w:val="00CB0F57"/>
    <w:pPr>
      <w:spacing w:line="240" w:lineRule="auto"/>
    </w:pPr>
    <w:tblPr>
      <w:tblStyleRowBandSize w:val="1"/>
      <w:tblStyleColBandSize w:val="1"/>
      <w:tblBorders>
        <w:top w:val="single" w:sz="4" w:space="0" w:color="8DB7EA" w:themeColor="accent1" w:themeTint="66"/>
        <w:left w:val="single" w:sz="4" w:space="0" w:color="8DB7EA" w:themeColor="accent1" w:themeTint="66"/>
        <w:bottom w:val="single" w:sz="4" w:space="0" w:color="8DB7EA" w:themeColor="accent1" w:themeTint="66"/>
        <w:right w:val="single" w:sz="4" w:space="0" w:color="8DB7EA" w:themeColor="accent1" w:themeTint="66"/>
        <w:insideH w:val="single" w:sz="4" w:space="0" w:color="8DB7EA" w:themeColor="accent1" w:themeTint="66"/>
        <w:insideV w:val="single" w:sz="4" w:space="0" w:color="8DB7EA" w:themeColor="accent1" w:themeTint="66"/>
      </w:tblBorders>
    </w:tblPr>
    <w:tblStylePr w:type="firstRow">
      <w:rPr>
        <w:b/>
        <w:bCs/>
      </w:rPr>
      <w:tblPr/>
      <w:tcPr>
        <w:tcBorders>
          <w:bottom w:val="single" w:sz="12" w:space="0" w:color="5593E0" w:themeColor="accent1" w:themeTint="99"/>
        </w:tcBorders>
      </w:tcPr>
    </w:tblStylePr>
    <w:tblStylePr w:type="lastRow">
      <w:rPr>
        <w:b/>
        <w:bCs/>
      </w:rPr>
      <w:tblPr/>
      <w:tcPr>
        <w:tcBorders>
          <w:top w:val="double" w:sz="2" w:space="0" w:color="5593E0" w:themeColor="accent1" w:themeTint="99"/>
        </w:tcBorders>
      </w:tcPr>
    </w:tblStylePr>
    <w:tblStylePr w:type="firstCol">
      <w:rPr>
        <w:b/>
        <w:bCs/>
      </w:rPr>
    </w:tblStylePr>
    <w:tblStylePr w:type="lastCol">
      <w:rPr>
        <w:b/>
        <w:bCs/>
      </w:rPr>
    </w:tblStylePr>
  </w:style>
  <w:style w:type="paragraph" w:styleId="TableofAuthorities">
    <w:name w:val="table of authorities"/>
    <w:basedOn w:val="Normal"/>
    <w:next w:val="Normal"/>
    <w:uiPriority w:val="99"/>
    <w:semiHidden/>
    <w:rsid w:val="00AF12D6"/>
    <w:pPr>
      <w:ind w:left="220" w:hanging="220"/>
    </w:pPr>
  </w:style>
  <w:style w:type="paragraph" w:customStyle="1" w:styleId="FooterPageNumber">
    <w:name w:val="Footer Page Number"/>
    <w:basedOn w:val="Footer"/>
    <w:uiPriority w:val="29"/>
    <w:qFormat/>
    <w:rsid w:val="00C95540"/>
    <w:pPr>
      <w:jc w:val="right"/>
    </w:pPr>
    <w:rPr>
      <w:color w:val="8E8E8E" w:themeColor="text2"/>
    </w:rPr>
  </w:style>
  <w:style w:type="character" w:styleId="PageNumber">
    <w:name w:val="page number"/>
    <w:basedOn w:val="DefaultParagraphFont"/>
    <w:uiPriority w:val="99"/>
    <w:semiHidden/>
    <w:qFormat/>
    <w:rsid w:val="008210DE"/>
    <w:rPr>
      <w:rFonts w:asciiTheme="minorHAnsi" w:hAnsiTheme="minorHAnsi"/>
      <w:sz w:val="20"/>
    </w:rPr>
  </w:style>
  <w:style w:type="paragraph" w:customStyle="1" w:styleId="ContentsTitle">
    <w:name w:val="Contents Title"/>
    <w:basedOn w:val="BodyText"/>
    <w:next w:val="Normal"/>
    <w:uiPriority w:val="22"/>
    <w:qFormat/>
    <w:rsid w:val="00C95540"/>
    <w:pPr>
      <w:keepNext/>
      <w:pageBreakBefore/>
      <w:spacing w:before="240" w:after="480"/>
    </w:pPr>
    <w:rPr>
      <w:b/>
      <w:color w:val="1B5294" w:themeColor="accent1"/>
      <w:sz w:val="36"/>
    </w:rPr>
  </w:style>
  <w:style w:type="paragraph" w:styleId="TOC1">
    <w:name w:val="toc 1"/>
    <w:basedOn w:val="BodyText"/>
    <w:next w:val="Normal"/>
    <w:autoRedefine/>
    <w:uiPriority w:val="39"/>
    <w:unhideWhenUsed/>
    <w:rsid w:val="00462B65"/>
    <w:pPr>
      <w:tabs>
        <w:tab w:val="left" w:pos="851"/>
        <w:tab w:val="left" w:pos="960"/>
        <w:tab w:val="left" w:pos="1418"/>
        <w:tab w:val="right" w:leader="dot" w:pos="9010"/>
      </w:tabs>
      <w:spacing w:after="120"/>
      <w:ind w:left="1418" w:hanging="567"/>
      <w:contextualSpacing/>
      <w:jc w:val="left"/>
    </w:pPr>
    <w:rPr>
      <w:b/>
      <w:caps/>
      <w:color w:val="000000" w:themeColor="text1"/>
    </w:rPr>
  </w:style>
  <w:style w:type="paragraph" w:styleId="TOC2">
    <w:name w:val="toc 2"/>
    <w:basedOn w:val="Normal"/>
    <w:next w:val="Normal"/>
    <w:autoRedefine/>
    <w:uiPriority w:val="39"/>
    <w:unhideWhenUsed/>
    <w:rsid w:val="00547A51"/>
    <w:pPr>
      <w:tabs>
        <w:tab w:val="right" w:pos="851"/>
        <w:tab w:val="right" w:leader="dot" w:pos="9010"/>
      </w:tabs>
      <w:ind w:left="431"/>
    </w:pPr>
  </w:style>
  <w:style w:type="paragraph" w:styleId="TOC3">
    <w:name w:val="toc 3"/>
    <w:basedOn w:val="TableofFigures"/>
    <w:next w:val="Normal"/>
    <w:autoRedefine/>
    <w:uiPriority w:val="39"/>
    <w:unhideWhenUsed/>
    <w:rsid w:val="000A267F"/>
    <w:pPr>
      <w:tabs>
        <w:tab w:val="clear" w:pos="2268"/>
      </w:tabs>
    </w:pPr>
  </w:style>
  <w:style w:type="paragraph" w:styleId="TOC4">
    <w:name w:val="toc 4"/>
    <w:basedOn w:val="Normal"/>
    <w:next w:val="Normal"/>
    <w:autoRedefine/>
    <w:uiPriority w:val="39"/>
    <w:semiHidden/>
    <w:rsid w:val="00176B9A"/>
    <w:pPr>
      <w:spacing w:after="100"/>
    </w:pPr>
  </w:style>
  <w:style w:type="paragraph" w:styleId="TOC5">
    <w:name w:val="toc 5"/>
    <w:basedOn w:val="Normal"/>
    <w:next w:val="Normal"/>
    <w:autoRedefine/>
    <w:uiPriority w:val="39"/>
    <w:semiHidden/>
    <w:rsid w:val="00FF06D9"/>
    <w:pPr>
      <w:ind w:left="960"/>
    </w:pPr>
  </w:style>
  <w:style w:type="paragraph" w:styleId="TOC6">
    <w:name w:val="toc 6"/>
    <w:basedOn w:val="Normal"/>
    <w:next w:val="Normal"/>
    <w:autoRedefine/>
    <w:uiPriority w:val="39"/>
    <w:semiHidden/>
    <w:rsid w:val="00FF06D9"/>
    <w:pPr>
      <w:ind w:left="1200"/>
    </w:pPr>
  </w:style>
  <w:style w:type="paragraph" w:styleId="TOC7">
    <w:name w:val="toc 7"/>
    <w:basedOn w:val="Normal"/>
    <w:next w:val="Normal"/>
    <w:autoRedefine/>
    <w:uiPriority w:val="39"/>
    <w:semiHidden/>
    <w:rsid w:val="00FF06D9"/>
    <w:pPr>
      <w:ind w:left="1440"/>
    </w:pPr>
  </w:style>
  <w:style w:type="paragraph" w:styleId="TOC8">
    <w:name w:val="toc 8"/>
    <w:basedOn w:val="Normal"/>
    <w:next w:val="Normal"/>
    <w:autoRedefine/>
    <w:uiPriority w:val="39"/>
    <w:semiHidden/>
    <w:rsid w:val="00FF06D9"/>
    <w:pPr>
      <w:ind w:left="1680"/>
    </w:pPr>
  </w:style>
  <w:style w:type="paragraph" w:styleId="TOC9">
    <w:name w:val="toc 9"/>
    <w:basedOn w:val="Normal"/>
    <w:next w:val="Normal"/>
    <w:autoRedefine/>
    <w:uiPriority w:val="39"/>
    <w:semiHidden/>
    <w:rsid w:val="00FF06D9"/>
    <w:pPr>
      <w:ind w:left="1920"/>
    </w:pPr>
  </w:style>
  <w:style w:type="paragraph" w:styleId="NoSpacing">
    <w:name w:val="No Spacing"/>
    <w:link w:val="NoSpacingChar"/>
    <w:uiPriority w:val="16"/>
    <w:qFormat/>
    <w:rsid w:val="008210DE"/>
  </w:style>
  <w:style w:type="character" w:customStyle="1" w:styleId="Heading4Char">
    <w:name w:val="Heading 4 Char"/>
    <w:basedOn w:val="DefaultParagraphFont"/>
    <w:link w:val="Heading4"/>
    <w:uiPriority w:val="9"/>
    <w:semiHidden/>
    <w:rsid w:val="009B2A73"/>
    <w:rPr>
      <w:rFonts w:asciiTheme="majorHAnsi" w:eastAsiaTheme="majorEastAsia" w:hAnsiTheme="majorHAnsi" w:cstheme="majorBidi"/>
      <w:i/>
      <w:iCs/>
      <w:color w:val="143D6E" w:themeColor="accent1" w:themeShade="BF"/>
    </w:rPr>
  </w:style>
  <w:style w:type="paragraph" w:styleId="ListNumber3">
    <w:name w:val="List Number 3"/>
    <w:basedOn w:val="Normal"/>
    <w:uiPriority w:val="99"/>
    <w:semiHidden/>
    <w:unhideWhenUsed/>
    <w:rsid w:val="001A5F02"/>
    <w:pPr>
      <w:contextualSpacing/>
    </w:pPr>
  </w:style>
  <w:style w:type="character" w:customStyle="1" w:styleId="Heading5Char">
    <w:name w:val="Heading 5 Char"/>
    <w:basedOn w:val="DefaultParagraphFont"/>
    <w:link w:val="Heading5"/>
    <w:uiPriority w:val="9"/>
    <w:semiHidden/>
    <w:rsid w:val="009B2A73"/>
    <w:rPr>
      <w:rFonts w:asciiTheme="majorHAnsi" w:eastAsiaTheme="majorEastAsia" w:hAnsiTheme="majorHAnsi" w:cstheme="majorBidi"/>
      <w:color w:val="143D6E" w:themeColor="accent1" w:themeShade="BF"/>
    </w:rPr>
  </w:style>
  <w:style w:type="character" w:customStyle="1" w:styleId="Heading6Char">
    <w:name w:val="Heading 6 Char"/>
    <w:basedOn w:val="DefaultParagraphFont"/>
    <w:link w:val="Heading6"/>
    <w:uiPriority w:val="9"/>
    <w:semiHidden/>
    <w:rsid w:val="009B2A73"/>
    <w:rPr>
      <w:rFonts w:asciiTheme="majorHAnsi" w:eastAsiaTheme="majorEastAsia" w:hAnsiTheme="majorHAnsi" w:cstheme="majorBidi"/>
      <w:color w:val="0D2849" w:themeColor="accent1" w:themeShade="7F"/>
    </w:rPr>
  </w:style>
  <w:style w:type="character" w:customStyle="1" w:styleId="Heading7Char">
    <w:name w:val="Heading 7 Char"/>
    <w:basedOn w:val="DefaultParagraphFont"/>
    <w:link w:val="Heading7"/>
    <w:uiPriority w:val="9"/>
    <w:semiHidden/>
    <w:rsid w:val="009B2A73"/>
    <w:rPr>
      <w:rFonts w:asciiTheme="majorHAnsi" w:eastAsiaTheme="majorEastAsia" w:hAnsiTheme="majorHAnsi" w:cstheme="majorBidi"/>
      <w:i/>
      <w:iCs/>
      <w:color w:val="0D2849" w:themeColor="accent1" w:themeShade="7F"/>
    </w:rPr>
  </w:style>
  <w:style w:type="character" w:customStyle="1" w:styleId="Heading8Char">
    <w:name w:val="Heading 8 Char"/>
    <w:basedOn w:val="DefaultParagraphFont"/>
    <w:link w:val="Heading8"/>
    <w:uiPriority w:val="9"/>
    <w:semiHidden/>
    <w:rsid w:val="009B2A7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2A73"/>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TOC1"/>
    <w:next w:val="Normal"/>
    <w:uiPriority w:val="99"/>
    <w:unhideWhenUsed/>
    <w:rsid w:val="001267F1"/>
    <w:pPr>
      <w:tabs>
        <w:tab w:val="clear" w:pos="960"/>
        <w:tab w:val="left" w:pos="2268"/>
        <w:tab w:val="right" w:leader="dot" w:pos="9054"/>
      </w:tabs>
      <w:ind w:left="1135" w:hanging="284"/>
    </w:pPr>
    <w:rPr>
      <w:rFonts w:eastAsiaTheme="minorEastAsia"/>
      <w:b w:val="0"/>
      <w:caps w:val="0"/>
      <w:noProof/>
      <w:lang w:eastAsia="en-GB"/>
    </w:rPr>
  </w:style>
  <w:style w:type="paragraph" w:customStyle="1" w:styleId="ESHeading1">
    <w:name w:val="ES Heading 1"/>
    <w:basedOn w:val="Normal"/>
    <w:next w:val="ESHeading2"/>
    <w:uiPriority w:val="3"/>
    <w:qFormat/>
    <w:rsid w:val="004F3F6E"/>
    <w:pPr>
      <w:keepNext/>
      <w:pageBreakBefore/>
      <w:numPr>
        <w:numId w:val="7"/>
      </w:numPr>
      <w:spacing w:after="120"/>
      <w:outlineLvl w:val="0"/>
    </w:pPr>
    <w:rPr>
      <w:b/>
      <w:color w:val="1B5294" w:themeColor="accent1"/>
      <w:sz w:val="36"/>
    </w:rPr>
  </w:style>
  <w:style w:type="paragraph" w:styleId="BodyText">
    <w:name w:val="Body Text"/>
    <w:basedOn w:val="Normal"/>
    <w:link w:val="BodyTextChar"/>
    <w:qFormat/>
    <w:rsid w:val="007D3D75"/>
    <w:pPr>
      <w:spacing w:after="240"/>
      <w:ind w:left="851"/>
      <w:jc w:val="both"/>
    </w:pPr>
  </w:style>
  <w:style w:type="character" w:customStyle="1" w:styleId="BodyTextChar">
    <w:name w:val="Body Text Char"/>
    <w:basedOn w:val="DefaultParagraphFont"/>
    <w:link w:val="BodyText"/>
    <w:rsid w:val="007D3D75"/>
    <w:rPr>
      <w:sz w:val="22"/>
      <w:lang w:val="en-GB"/>
    </w:rPr>
  </w:style>
  <w:style w:type="paragraph" w:styleId="Quote">
    <w:name w:val="Quote"/>
    <w:basedOn w:val="Normal"/>
    <w:next w:val="Normal"/>
    <w:link w:val="QuoteChar"/>
    <w:uiPriority w:val="29"/>
    <w:semiHidden/>
    <w:qFormat/>
    <w:rsid w:val="00772702"/>
    <w:pPr>
      <w:spacing w:before="120" w:after="160"/>
      <w:ind w:left="1728" w:right="1728"/>
      <w:jc w:val="center"/>
    </w:pPr>
    <w:rPr>
      <w:i/>
      <w:iCs/>
      <w:color w:val="7F7F7F" w:themeColor="text1" w:themeTint="80"/>
      <w:sz w:val="28"/>
    </w:rPr>
  </w:style>
  <w:style w:type="character" w:customStyle="1" w:styleId="QuoteChar">
    <w:name w:val="Quote Char"/>
    <w:basedOn w:val="DefaultParagraphFont"/>
    <w:link w:val="Quote"/>
    <w:uiPriority w:val="29"/>
    <w:semiHidden/>
    <w:rsid w:val="00AF12D6"/>
    <w:rPr>
      <w:rFonts w:ascii="Calibri" w:hAnsi="Calibri"/>
      <w:i/>
      <w:iCs/>
      <w:color w:val="7F7F7F" w:themeColor="text1" w:themeTint="80"/>
      <w:sz w:val="28"/>
      <w:lang w:val="en-GB"/>
    </w:rPr>
  </w:style>
  <w:style w:type="paragraph" w:styleId="IntenseQuote">
    <w:name w:val="Intense Quote"/>
    <w:basedOn w:val="Normal"/>
    <w:next w:val="Normal"/>
    <w:link w:val="IntenseQuoteChar"/>
    <w:uiPriority w:val="30"/>
    <w:semiHidden/>
    <w:qFormat/>
    <w:rsid w:val="00B62F62"/>
    <w:pPr>
      <w:pBdr>
        <w:top w:val="single" w:sz="4" w:space="10" w:color="1B5294" w:themeColor="accent1"/>
        <w:bottom w:val="single" w:sz="4" w:space="10" w:color="1B5294" w:themeColor="accent1"/>
      </w:pBdr>
      <w:spacing w:before="360" w:after="360"/>
      <w:ind w:left="1728" w:right="1728"/>
      <w:jc w:val="center"/>
    </w:pPr>
    <w:rPr>
      <w:i/>
      <w:iCs/>
      <w:color w:val="143D6E" w:themeColor="accent1" w:themeShade="BF"/>
      <w:sz w:val="28"/>
    </w:rPr>
  </w:style>
  <w:style w:type="character" w:customStyle="1" w:styleId="IntenseQuoteChar">
    <w:name w:val="Intense Quote Char"/>
    <w:basedOn w:val="DefaultParagraphFont"/>
    <w:link w:val="IntenseQuote"/>
    <w:uiPriority w:val="30"/>
    <w:semiHidden/>
    <w:rsid w:val="00A739EB"/>
    <w:rPr>
      <w:rFonts w:ascii="Calibri" w:hAnsi="Calibri"/>
      <w:i/>
      <w:iCs/>
      <w:color w:val="143D6E" w:themeColor="accent1" w:themeShade="BF"/>
      <w:sz w:val="28"/>
      <w:lang w:val="en-GB"/>
    </w:rPr>
  </w:style>
  <w:style w:type="paragraph" w:customStyle="1" w:styleId="FactBoxHeader">
    <w:name w:val="Fact Box Header"/>
    <w:basedOn w:val="BodyText"/>
    <w:next w:val="FactBoxText"/>
    <w:uiPriority w:val="8"/>
    <w:qFormat/>
    <w:rsid w:val="00780131"/>
    <w:pPr>
      <w:keepNext/>
      <w:pBdr>
        <w:top w:val="single" w:sz="4" w:space="2" w:color="1B5294" w:themeColor="accent1"/>
        <w:left w:val="single" w:sz="4" w:space="4" w:color="1B5294" w:themeColor="accent1"/>
        <w:bottom w:val="single" w:sz="4" w:space="2" w:color="1B5294" w:themeColor="accent1"/>
        <w:right w:val="single" w:sz="4" w:space="4" w:color="1B5294" w:themeColor="accent1"/>
      </w:pBdr>
      <w:shd w:val="clear" w:color="auto" w:fill="143D6E" w:themeFill="accent1" w:themeFillShade="BF"/>
      <w:spacing w:after="0"/>
      <w:ind w:left="964" w:right="113"/>
    </w:pPr>
    <w:rPr>
      <w:rFonts w:asciiTheme="majorHAnsi" w:hAnsiTheme="majorHAnsi"/>
      <w:b/>
      <w:color w:val="FFFFFF" w:themeColor="background1"/>
    </w:rPr>
  </w:style>
  <w:style w:type="paragraph" w:customStyle="1" w:styleId="FactBoxText">
    <w:name w:val="Fact Box Text"/>
    <w:basedOn w:val="ListBullet"/>
    <w:uiPriority w:val="8"/>
    <w:qFormat/>
    <w:rsid w:val="00780131"/>
    <w:pPr>
      <w:numPr>
        <w:numId w:val="0"/>
      </w:numPr>
      <w:pBdr>
        <w:top w:val="single" w:sz="4" w:space="2" w:color="DBEFF9" w:themeColor="background2"/>
        <w:left w:val="single" w:sz="4" w:space="4" w:color="DBEFF9" w:themeColor="background2"/>
        <w:bottom w:val="single" w:sz="4" w:space="2" w:color="DBEFF9" w:themeColor="background2"/>
        <w:right w:val="single" w:sz="4" w:space="4" w:color="DBEFF9" w:themeColor="background2"/>
      </w:pBdr>
      <w:shd w:val="clear" w:color="auto" w:fill="DBEFF9" w:themeFill="background2"/>
      <w:ind w:left="964" w:right="113"/>
    </w:pPr>
  </w:style>
  <w:style w:type="table" w:styleId="GridTable4-Accent1">
    <w:name w:val="Grid Table 4 Accent 1"/>
    <w:basedOn w:val="TableNormal"/>
    <w:uiPriority w:val="49"/>
    <w:rsid w:val="00C90284"/>
    <w:tblPr>
      <w:tblStyleRowBandSize w:val="1"/>
      <w:tblStyleColBandSize w:val="1"/>
      <w:tblBorders>
        <w:top w:val="single" w:sz="4" w:space="0" w:color="5593E0" w:themeColor="accent1" w:themeTint="99"/>
        <w:left w:val="single" w:sz="4" w:space="0" w:color="5593E0" w:themeColor="accent1" w:themeTint="99"/>
        <w:bottom w:val="single" w:sz="4" w:space="0" w:color="5593E0" w:themeColor="accent1" w:themeTint="99"/>
        <w:right w:val="single" w:sz="4" w:space="0" w:color="5593E0" w:themeColor="accent1" w:themeTint="99"/>
        <w:insideH w:val="single" w:sz="4" w:space="0" w:color="5593E0" w:themeColor="accent1" w:themeTint="99"/>
        <w:insideV w:val="single" w:sz="4" w:space="0" w:color="5593E0" w:themeColor="accent1" w:themeTint="99"/>
      </w:tblBorders>
    </w:tblPr>
    <w:tblStylePr w:type="firstRow">
      <w:rPr>
        <w:b/>
        <w:bCs/>
        <w:color w:val="FFFFFF" w:themeColor="background1"/>
      </w:rPr>
      <w:tblPr/>
      <w:tcPr>
        <w:tcBorders>
          <w:top w:val="single" w:sz="4" w:space="0" w:color="1B5294" w:themeColor="accent1"/>
          <w:left w:val="single" w:sz="4" w:space="0" w:color="1B5294" w:themeColor="accent1"/>
          <w:bottom w:val="single" w:sz="4" w:space="0" w:color="1B5294" w:themeColor="accent1"/>
          <w:right w:val="single" w:sz="4" w:space="0" w:color="1B5294" w:themeColor="accent1"/>
          <w:insideH w:val="nil"/>
          <w:insideV w:val="nil"/>
        </w:tcBorders>
        <w:shd w:val="clear" w:color="auto" w:fill="1B5294" w:themeFill="accent1"/>
      </w:tcPr>
    </w:tblStylePr>
    <w:tblStylePr w:type="lastRow">
      <w:rPr>
        <w:b/>
        <w:bCs/>
      </w:rPr>
      <w:tblPr/>
      <w:tcPr>
        <w:tcBorders>
          <w:top w:val="double" w:sz="4" w:space="0" w:color="1B5294" w:themeColor="accent1"/>
        </w:tcBorders>
      </w:tcPr>
    </w:tblStylePr>
    <w:tblStylePr w:type="firstCol">
      <w:rPr>
        <w:b/>
        <w:bCs/>
      </w:rPr>
    </w:tblStylePr>
    <w:tblStylePr w:type="lastCol">
      <w:rPr>
        <w:b/>
        <w:bCs/>
      </w:rPr>
    </w:tblStylePr>
    <w:tblStylePr w:type="band1Vert">
      <w:tblPr/>
      <w:tcPr>
        <w:shd w:val="clear" w:color="auto" w:fill="C6DBF4" w:themeFill="accent1" w:themeFillTint="33"/>
      </w:tcPr>
    </w:tblStylePr>
    <w:tblStylePr w:type="band1Horz">
      <w:tblPr/>
      <w:tcPr>
        <w:shd w:val="clear" w:color="auto" w:fill="C6DBF4" w:themeFill="accent1" w:themeFillTint="33"/>
      </w:tcPr>
    </w:tblStylePr>
  </w:style>
  <w:style w:type="paragraph" w:customStyle="1" w:styleId="LegalTextSmaller">
    <w:name w:val="Legal Text Smaller"/>
    <w:basedOn w:val="Normal"/>
    <w:uiPriority w:val="26"/>
    <w:qFormat/>
    <w:rsid w:val="00290E0A"/>
    <w:pPr>
      <w:framePr w:hSpace="181" w:wrap="around" w:hAnchor="text" w:yAlign="bottom"/>
      <w:spacing w:after="60"/>
      <w:jc w:val="both"/>
    </w:pPr>
    <w:rPr>
      <w:color w:val="8E8E8E" w:themeColor="text2"/>
      <w:sz w:val="18"/>
      <w:lang w:eastAsia="en-GB"/>
    </w:rPr>
  </w:style>
  <w:style w:type="table" w:styleId="ListTable4-Accent1">
    <w:name w:val="List Table 4 Accent 1"/>
    <w:basedOn w:val="TableNormal"/>
    <w:uiPriority w:val="49"/>
    <w:rsid w:val="00755E54"/>
    <w:tblPr>
      <w:tblStyleRowBandSize w:val="1"/>
      <w:tblStyleColBandSize w:val="1"/>
      <w:tblBorders>
        <w:top w:val="single" w:sz="4" w:space="0" w:color="5593E0" w:themeColor="accent1" w:themeTint="99"/>
        <w:left w:val="single" w:sz="4" w:space="0" w:color="5593E0" w:themeColor="accent1" w:themeTint="99"/>
        <w:bottom w:val="single" w:sz="4" w:space="0" w:color="5593E0" w:themeColor="accent1" w:themeTint="99"/>
        <w:right w:val="single" w:sz="4" w:space="0" w:color="5593E0" w:themeColor="accent1" w:themeTint="99"/>
        <w:insideH w:val="single" w:sz="4" w:space="0" w:color="5593E0" w:themeColor="accent1" w:themeTint="99"/>
      </w:tblBorders>
    </w:tblPr>
    <w:tblStylePr w:type="firstRow">
      <w:rPr>
        <w:b/>
        <w:bCs/>
        <w:color w:val="FFFFFF" w:themeColor="background1"/>
      </w:rPr>
      <w:tblPr/>
      <w:tcPr>
        <w:tcBorders>
          <w:top w:val="single" w:sz="4" w:space="0" w:color="1B5294" w:themeColor="accent1"/>
          <w:left w:val="single" w:sz="4" w:space="0" w:color="1B5294" w:themeColor="accent1"/>
          <w:bottom w:val="single" w:sz="4" w:space="0" w:color="1B5294" w:themeColor="accent1"/>
          <w:right w:val="single" w:sz="4" w:space="0" w:color="1B5294" w:themeColor="accent1"/>
          <w:insideH w:val="nil"/>
        </w:tcBorders>
        <w:shd w:val="clear" w:color="auto" w:fill="1B5294" w:themeFill="accent1"/>
      </w:tcPr>
    </w:tblStylePr>
    <w:tblStylePr w:type="lastRow">
      <w:rPr>
        <w:b/>
        <w:bCs/>
      </w:rPr>
      <w:tblPr/>
      <w:tcPr>
        <w:tcBorders>
          <w:top w:val="double" w:sz="4" w:space="0" w:color="5593E0" w:themeColor="accent1" w:themeTint="99"/>
        </w:tcBorders>
      </w:tcPr>
    </w:tblStylePr>
    <w:tblStylePr w:type="firstCol">
      <w:rPr>
        <w:b/>
        <w:bCs/>
      </w:rPr>
    </w:tblStylePr>
    <w:tblStylePr w:type="lastCol">
      <w:rPr>
        <w:b/>
        <w:bCs/>
      </w:rPr>
    </w:tblStylePr>
    <w:tblStylePr w:type="band1Vert">
      <w:tblPr/>
      <w:tcPr>
        <w:shd w:val="clear" w:color="auto" w:fill="C6DBF4" w:themeFill="accent1" w:themeFillTint="33"/>
      </w:tcPr>
    </w:tblStylePr>
    <w:tblStylePr w:type="band1Horz">
      <w:tblPr/>
      <w:tcPr>
        <w:shd w:val="clear" w:color="auto" w:fill="C6DBF4" w:themeFill="accent1" w:themeFillTint="33"/>
      </w:tcPr>
    </w:tblStylePr>
  </w:style>
  <w:style w:type="paragraph" w:customStyle="1" w:styleId="FigureSource">
    <w:name w:val="Figure Source"/>
    <w:basedOn w:val="Normal"/>
    <w:next w:val="BodyText"/>
    <w:uiPriority w:val="14"/>
    <w:qFormat/>
    <w:rsid w:val="000C1769"/>
    <w:pPr>
      <w:keepNext/>
      <w:tabs>
        <w:tab w:val="left" w:pos="1152"/>
      </w:tabs>
      <w:spacing w:after="240" w:line="240" w:lineRule="auto"/>
      <w:ind w:left="864"/>
    </w:pPr>
    <w:rPr>
      <w:i/>
      <w:iCs/>
      <w:color w:val="808080" w:themeColor="background1" w:themeShade="80"/>
      <w:sz w:val="18"/>
      <w:szCs w:val="18"/>
    </w:rPr>
  </w:style>
  <w:style w:type="table" w:styleId="PlainTable4">
    <w:name w:val="Plain Table 4"/>
    <w:basedOn w:val="TableNormal"/>
    <w:uiPriority w:val="44"/>
    <w:rsid w:val="00C41448"/>
    <w:rPr>
      <w:sz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KTablePlain">
    <w:name w:val="MK Table Plain"/>
    <w:basedOn w:val="TableGrid"/>
    <w:uiPriority w:val="99"/>
    <w:rsid w:val="001C500E"/>
    <w:pPr>
      <w:spacing w:before="60" w:after="60"/>
    </w:pPr>
    <w:rPr>
      <w:rFonts w:ascii="Calibri" w:hAnsi="Calibri"/>
      <w:sz w:val="20"/>
      <w:szCs w:val="20"/>
      <w:lang w:val="en-GB" w:eastAsia="en-GB"/>
    </w:rPr>
    <w:tblPr>
      <w:tblInd w:w="851" w:type="dxa"/>
    </w:tblPr>
    <w:tcPr>
      <w:vAlign w:val="center"/>
    </w:tcPr>
    <w:tblStylePr w:type="firstRow">
      <w:pPr>
        <w:jc w:val="center"/>
      </w:pPr>
      <w:rPr>
        <w:b/>
        <w:bCs/>
        <w:color w:val="8E8E8E" w:themeColor="text2"/>
      </w:rPr>
      <w:tblPr/>
      <w:trPr>
        <w:tblHeader/>
      </w:trPr>
      <w:tcPr>
        <w:vAlign w:val="top"/>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Title">
    <w:name w:val="Appendix Title"/>
    <w:basedOn w:val="Normal"/>
    <w:next w:val="BodyText"/>
    <w:uiPriority w:val="6"/>
    <w:qFormat/>
    <w:rsid w:val="00A84F0D"/>
    <w:pPr>
      <w:pageBreakBefore/>
      <w:numPr>
        <w:numId w:val="12"/>
      </w:numPr>
      <w:spacing w:after="240"/>
      <w:jc w:val="center"/>
    </w:pPr>
    <w:rPr>
      <w:rFonts w:asciiTheme="majorHAnsi" w:hAnsiTheme="majorHAnsi"/>
      <w:b/>
      <w:caps/>
      <w:color w:val="1B5294" w:themeColor="accent1"/>
      <w:sz w:val="36"/>
    </w:rPr>
  </w:style>
  <w:style w:type="paragraph" w:customStyle="1" w:styleId="BodyTextNumbered3">
    <w:name w:val="Body Text Numbered 3"/>
    <w:basedOn w:val="BodyTextNumbered2"/>
    <w:qFormat/>
    <w:rsid w:val="00EC69B3"/>
    <w:pPr>
      <w:numPr>
        <w:ilvl w:val="4"/>
      </w:numPr>
    </w:pPr>
  </w:style>
  <w:style w:type="paragraph" w:styleId="NormalWeb">
    <w:name w:val="Normal (Web)"/>
    <w:basedOn w:val="Normal"/>
    <w:uiPriority w:val="99"/>
    <w:semiHidden/>
    <w:unhideWhenUsed/>
    <w:rsid w:val="000B22AE"/>
    <w:pPr>
      <w:spacing w:before="100" w:beforeAutospacing="1" w:after="100" w:afterAutospacing="1" w:line="240" w:lineRule="auto"/>
    </w:pPr>
    <w:rPr>
      <w:rFonts w:ascii="Times New Roman" w:hAnsi="Times New Roman" w:cs="Times New Roman"/>
      <w:sz w:val="24"/>
      <w:lang w:eastAsia="en-GB"/>
    </w:rPr>
  </w:style>
  <w:style w:type="paragraph" w:styleId="Title">
    <w:name w:val="Title"/>
    <w:basedOn w:val="Normal"/>
    <w:next w:val="Normal"/>
    <w:link w:val="TitleChar"/>
    <w:uiPriority w:val="24"/>
    <w:semiHidden/>
    <w:qFormat/>
    <w:rsid w:val="00DF63CE"/>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24"/>
    <w:semiHidden/>
    <w:rsid w:val="00AF12D6"/>
    <w:rPr>
      <w:rFonts w:ascii="Calibri" w:eastAsiaTheme="majorEastAsia" w:hAnsi="Calibri" w:cstheme="majorBidi"/>
      <w:spacing w:val="-10"/>
      <w:kern w:val="28"/>
      <w:sz w:val="56"/>
      <w:szCs w:val="56"/>
      <w:lang w:val="en-GB"/>
    </w:rPr>
  </w:style>
  <w:style w:type="paragraph" w:styleId="TOCHeading">
    <w:name w:val="TOC Heading"/>
    <w:basedOn w:val="Heading1"/>
    <w:next w:val="Normal"/>
    <w:uiPriority w:val="39"/>
    <w:semiHidden/>
    <w:unhideWhenUsed/>
    <w:qFormat/>
    <w:rsid w:val="00DF63CE"/>
    <w:pPr>
      <w:numPr>
        <w:numId w:val="0"/>
      </w:numPr>
      <w:outlineLvl w:val="9"/>
    </w:pPr>
    <w:rPr>
      <w:b w:val="0"/>
      <w:smallCaps/>
      <w:sz w:val="32"/>
    </w:rPr>
  </w:style>
  <w:style w:type="paragraph" w:customStyle="1" w:styleId="LegalText">
    <w:name w:val="Legal Text"/>
    <w:basedOn w:val="Normal"/>
    <w:uiPriority w:val="25"/>
    <w:qFormat/>
    <w:rsid w:val="00290E0A"/>
    <w:pPr>
      <w:jc w:val="both"/>
    </w:pPr>
    <w:rPr>
      <w:color w:val="8E8E8E" w:themeColor="text2"/>
    </w:rPr>
  </w:style>
  <w:style w:type="table" w:styleId="TableGridLight">
    <w:name w:val="Grid Table Light"/>
    <w:basedOn w:val="TableNormal"/>
    <w:uiPriority w:val="40"/>
    <w:rsid w:val="00847E3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47E3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47E3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2">
    <w:name w:val="List Table 6 Colorful Accent 2"/>
    <w:basedOn w:val="TableNormal"/>
    <w:uiPriority w:val="51"/>
    <w:rsid w:val="004733BF"/>
    <w:rPr>
      <w:color w:val="4975C5" w:themeColor="accent2" w:themeShade="BF"/>
    </w:rPr>
    <w:tblPr>
      <w:tblStyleRowBandSize w:val="1"/>
      <w:tblStyleColBandSize w:val="1"/>
      <w:tblBorders>
        <w:top w:val="single" w:sz="4" w:space="0" w:color="8EAADB" w:themeColor="accent2"/>
        <w:bottom w:val="single" w:sz="4" w:space="0" w:color="8EAADB" w:themeColor="accent2"/>
      </w:tblBorders>
    </w:tblPr>
    <w:tblStylePr w:type="firstRow">
      <w:rPr>
        <w:b/>
        <w:bCs/>
      </w:rPr>
      <w:tblPr/>
      <w:tcPr>
        <w:tcBorders>
          <w:bottom w:val="single" w:sz="4" w:space="0" w:color="8EAADB" w:themeColor="accent2"/>
        </w:tcBorders>
      </w:tcPr>
    </w:tblStylePr>
    <w:tblStylePr w:type="lastRow">
      <w:rPr>
        <w:b/>
        <w:bCs/>
      </w:rPr>
      <w:tblPr/>
      <w:tcPr>
        <w:tcBorders>
          <w:top w:val="double" w:sz="4" w:space="0" w:color="8EAADB" w:themeColor="accent2"/>
        </w:tcBorders>
      </w:tcPr>
    </w:tblStylePr>
    <w:tblStylePr w:type="firstCol">
      <w:rPr>
        <w:b/>
        <w:bCs/>
      </w:rPr>
    </w:tblStylePr>
    <w:tblStylePr w:type="lastCol">
      <w:rPr>
        <w:b/>
        <w:bCs/>
      </w:rPr>
    </w:tblStylePr>
    <w:tblStylePr w:type="band1Vert">
      <w:tblPr/>
      <w:tcPr>
        <w:shd w:val="clear" w:color="auto" w:fill="E8EDF7" w:themeFill="accent2" w:themeFillTint="33"/>
      </w:tcPr>
    </w:tblStylePr>
    <w:tblStylePr w:type="band1Horz">
      <w:tblPr/>
      <w:tcPr>
        <w:shd w:val="clear" w:color="auto" w:fill="E8EDF7" w:themeFill="accent2" w:themeFillTint="33"/>
      </w:tcPr>
    </w:tblStylePr>
  </w:style>
  <w:style w:type="table" w:styleId="ListTable6Colorful">
    <w:name w:val="List Table 6 Colorful"/>
    <w:basedOn w:val="TableNormal"/>
    <w:uiPriority w:val="51"/>
    <w:rsid w:val="004733B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733BF"/>
    <w:rPr>
      <w:color w:val="143D6E" w:themeColor="accent1" w:themeShade="BF"/>
    </w:rPr>
    <w:tblPr>
      <w:tblStyleRowBandSize w:val="1"/>
      <w:tblStyleColBandSize w:val="1"/>
      <w:tblBorders>
        <w:top w:val="single" w:sz="4" w:space="0" w:color="1B5294" w:themeColor="accent1"/>
        <w:bottom w:val="single" w:sz="4" w:space="0" w:color="1B5294" w:themeColor="accent1"/>
      </w:tblBorders>
    </w:tblPr>
    <w:tblStylePr w:type="firstRow">
      <w:rPr>
        <w:b/>
        <w:bCs/>
      </w:rPr>
      <w:tblPr/>
      <w:tcPr>
        <w:tcBorders>
          <w:bottom w:val="single" w:sz="4" w:space="0" w:color="1B5294" w:themeColor="accent1"/>
        </w:tcBorders>
      </w:tcPr>
    </w:tblStylePr>
    <w:tblStylePr w:type="lastRow">
      <w:rPr>
        <w:b/>
        <w:bCs/>
      </w:rPr>
      <w:tblPr/>
      <w:tcPr>
        <w:tcBorders>
          <w:top w:val="double" w:sz="4" w:space="0" w:color="1B5294" w:themeColor="accent1"/>
        </w:tcBorders>
      </w:tcPr>
    </w:tblStylePr>
    <w:tblStylePr w:type="firstCol">
      <w:rPr>
        <w:b/>
        <w:bCs/>
      </w:rPr>
    </w:tblStylePr>
    <w:tblStylePr w:type="lastCol">
      <w:rPr>
        <w:b/>
        <w:bCs/>
      </w:rPr>
    </w:tblStylePr>
    <w:tblStylePr w:type="band1Vert">
      <w:tblPr/>
      <w:tcPr>
        <w:shd w:val="clear" w:color="auto" w:fill="C6DBF4" w:themeFill="accent1" w:themeFillTint="33"/>
      </w:tcPr>
    </w:tblStylePr>
    <w:tblStylePr w:type="band1Horz">
      <w:tblPr/>
      <w:tcPr>
        <w:shd w:val="clear" w:color="auto" w:fill="C6DBF4" w:themeFill="accent1" w:themeFillTint="33"/>
      </w:tcPr>
    </w:tblStylePr>
  </w:style>
  <w:style w:type="table" w:styleId="PlainTable5">
    <w:name w:val="Plain Table 5"/>
    <w:basedOn w:val="TableNormal"/>
    <w:uiPriority w:val="45"/>
    <w:rsid w:val="004733B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Numbered">
    <w:name w:val="Body Text Numbered"/>
    <w:basedOn w:val="Normal"/>
    <w:qFormat/>
    <w:rsid w:val="00EC69B3"/>
    <w:pPr>
      <w:numPr>
        <w:ilvl w:val="2"/>
        <w:numId w:val="13"/>
      </w:numPr>
      <w:spacing w:after="240"/>
      <w:jc w:val="both"/>
    </w:pPr>
  </w:style>
  <w:style w:type="paragraph" w:customStyle="1" w:styleId="BodyTextNoSpacing">
    <w:name w:val="Body Text No Spacing"/>
    <w:basedOn w:val="BodyText"/>
    <w:uiPriority w:val="18"/>
    <w:qFormat/>
    <w:rsid w:val="007A111D"/>
    <w:pPr>
      <w:spacing w:after="0"/>
    </w:pPr>
  </w:style>
  <w:style w:type="paragraph" w:customStyle="1" w:styleId="BodyTextNumbered2">
    <w:name w:val="Body Text Numbered 2"/>
    <w:basedOn w:val="Normal"/>
    <w:rsid w:val="00EC69B3"/>
    <w:pPr>
      <w:numPr>
        <w:ilvl w:val="3"/>
        <w:numId w:val="13"/>
      </w:numPr>
      <w:spacing w:after="240"/>
      <w:contextualSpacing/>
      <w:jc w:val="both"/>
    </w:pPr>
  </w:style>
  <w:style w:type="paragraph" w:customStyle="1" w:styleId="ContentsSubtitle">
    <w:name w:val="Contents Subtitle"/>
    <w:basedOn w:val="ContentsTitle"/>
    <w:uiPriority w:val="23"/>
    <w:qFormat/>
    <w:rsid w:val="004F3F6E"/>
    <w:pPr>
      <w:pageBreakBefore w:val="0"/>
      <w:spacing w:after="60"/>
    </w:pPr>
    <w:rPr>
      <w:sz w:val="32"/>
    </w:rPr>
  </w:style>
  <w:style w:type="numbering" w:customStyle="1" w:styleId="MarkidesHeadings">
    <w:name w:val="Markides Headings"/>
    <w:uiPriority w:val="99"/>
    <w:rsid w:val="007A637B"/>
    <w:pPr>
      <w:numPr>
        <w:numId w:val="2"/>
      </w:numPr>
    </w:pPr>
  </w:style>
  <w:style w:type="numbering" w:customStyle="1" w:styleId="ListBullets">
    <w:name w:val="List Bullets"/>
    <w:uiPriority w:val="99"/>
    <w:rsid w:val="00293329"/>
    <w:pPr>
      <w:numPr>
        <w:numId w:val="3"/>
      </w:numPr>
    </w:pPr>
  </w:style>
  <w:style w:type="numbering" w:customStyle="1" w:styleId="Appendices">
    <w:name w:val="Appendices"/>
    <w:uiPriority w:val="99"/>
    <w:rsid w:val="00A84F0D"/>
    <w:pPr>
      <w:numPr>
        <w:numId w:val="4"/>
      </w:numPr>
    </w:pPr>
  </w:style>
  <w:style w:type="paragraph" w:styleId="ListBullet2">
    <w:name w:val="List Bullet 2"/>
    <w:basedOn w:val="Normal"/>
    <w:uiPriority w:val="14"/>
    <w:rsid w:val="00861486"/>
    <w:pPr>
      <w:numPr>
        <w:ilvl w:val="1"/>
        <w:numId w:val="5"/>
      </w:numPr>
      <w:spacing w:after="240"/>
      <w:contextualSpacing/>
      <w:jc w:val="both"/>
    </w:pPr>
  </w:style>
  <w:style w:type="paragraph" w:customStyle="1" w:styleId="CoverPreparedfor">
    <w:name w:val="Cover Prepared for"/>
    <w:basedOn w:val="Normal"/>
    <w:uiPriority w:val="21"/>
    <w:qFormat/>
    <w:rsid w:val="00EA556D"/>
    <w:pPr>
      <w:spacing w:before="720"/>
    </w:pPr>
    <w:rPr>
      <w:b/>
    </w:rPr>
  </w:style>
  <w:style w:type="paragraph" w:customStyle="1" w:styleId="CoverDate">
    <w:name w:val="Cover Date"/>
    <w:basedOn w:val="Normal"/>
    <w:uiPriority w:val="21"/>
    <w:qFormat/>
    <w:rsid w:val="00EA556D"/>
    <w:pPr>
      <w:spacing w:before="480"/>
    </w:pPr>
    <w:rPr>
      <w:b/>
    </w:rPr>
  </w:style>
  <w:style w:type="paragraph" w:customStyle="1" w:styleId="CoverClientName">
    <w:name w:val="Cover Client Name"/>
    <w:basedOn w:val="Normal"/>
    <w:uiPriority w:val="21"/>
    <w:qFormat/>
    <w:rsid w:val="00550637"/>
    <w:pPr>
      <w:tabs>
        <w:tab w:val="center" w:pos="2144"/>
      </w:tabs>
      <w:spacing w:after="120"/>
    </w:pPr>
    <w:rPr>
      <w:b/>
      <w:sz w:val="28"/>
    </w:rPr>
  </w:style>
  <w:style w:type="table" w:customStyle="1" w:styleId="PlainnoLines">
    <w:name w:val="Plain no Lines"/>
    <w:basedOn w:val="TableNormal"/>
    <w:uiPriority w:val="99"/>
    <w:rsid w:val="004059F7"/>
    <w:pPr>
      <w:spacing w:line="240" w:lineRule="auto"/>
    </w:pPr>
    <w:tblPr/>
  </w:style>
  <w:style w:type="table" w:customStyle="1" w:styleId="MarkidesTableCentred">
    <w:name w:val="Markides Table Centred"/>
    <w:basedOn w:val="MKTablePlain"/>
    <w:uiPriority w:val="99"/>
    <w:rsid w:val="001C500E"/>
    <w:pPr>
      <w:spacing w:line="240" w:lineRule="auto"/>
      <w:jc w:val="center"/>
    </w:pPr>
    <w:tblPr/>
    <w:tblStylePr w:type="firstRow">
      <w:pPr>
        <w:jc w:val="center"/>
      </w:pPr>
      <w:rPr>
        <w:b/>
        <w:bCs/>
        <w:color w:val="8E8E8E" w:themeColor="text2"/>
      </w:rPr>
      <w:tblPr/>
      <w:trPr>
        <w:tblHeader/>
      </w:trPr>
      <w:tcPr>
        <w:vAlign w:val="top"/>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ndent">
    <w:name w:val="Indent"/>
    <w:basedOn w:val="BodyText"/>
    <w:uiPriority w:val="29"/>
    <w:qFormat/>
    <w:rsid w:val="00871E88"/>
    <w:pPr>
      <w:spacing w:after="0"/>
    </w:pPr>
  </w:style>
  <w:style w:type="paragraph" w:customStyle="1" w:styleId="Copyright">
    <w:name w:val="Copyright"/>
    <w:basedOn w:val="Normal"/>
    <w:uiPriority w:val="24"/>
    <w:qFormat/>
    <w:rsid w:val="00290E0A"/>
    <w:pPr>
      <w:jc w:val="both"/>
    </w:pPr>
    <w:rPr>
      <w:color w:val="8E8E8E" w:themeColor="text2"/>
    </w:rPr>
  </w:style>
  <w:style w:type="character" w:customStyle="1" w:styleId="NoSpacingChar">
    <w:name w:val="No Spacing Char"/>
    <w:basedOn w:val="DefaultParagraphFont"/>
    <w:link w:val="NoSpacing"/>
    <w:uiPriority w:val="16"/>
    <w:rsid w:val="00C84732"/>
  </w:style>
  <w:style w:type="table" w:customStyle="1" w:styleId="MarkidesFactBox">
    <w:name w:val="Markides Fact Box"/>
    <w:basedOn w:val="TableNormal"/>
    <w:uiPriority w:val="99"/>
    <w:rsid w:val="00610C69"/>
    <w:tblPr>
      <w:tblInd w:w="864" w:type="dxa"/>
    </w:tblPr>
  </w:style>
  <w:style w:type="paragraph" w:styleId="ListBullet3">
    <w:name w:val="List Bullet 3"/>
    <w:basedOn w:val="Normal"/>
    <w:uiPriority w:val="14"/>
    <w:rsid w:val="00861486"/>
    <w:pPr>
      <w:numPr>
        <w:ilvl w:val="2"/>
        <w:numId w:val="5"/>
      </w:numPr>
      <w:spacing w:after="240"/>
      <w:contextualSpacing/>
      <w:jc w:val="both"/>
    </w:pPr>
  </w:style>
  <w:style w:type="table" w:customStyle="1" w:styleId="MKTable1">
    <w:name w:val="MK Table 1"/>
    <w:basedOn w:val="TableNormal"/>
    <w:uiPriority w:val="99"/>
    <w:rsid w:val="001B1541"/>
    <w:pPr>
      <w:spacing w:before="40" w:after="40" w:line="240" w:lineRule="auto"/>
      <w:jc w:val="center"/>
    </w:pPr>
    <w:tblPr>
      <w:tblStyleRowBandSize w:val="1"/>
      <w:tblInd w:w="851" w:type="dxa"/>
      <w:tblBorders>
        <w:top w:val="single" w:sz="4" w:space="0" w:color="474747" w:themeColor="text2" w:themeShade="80"/>
        <w:left w:val="single" w:sz="4" w:space="0" w:color="474747" w:themeColor="text2" w:themeShade="80"/>
        <w:bottom w:val="single" w:sz="4" w:space="0" w:color="474747" w:themeColor="text2" w:themeShade="80"/>
        <w:right w:val="single" w:sz="4" w:space="0" w:color="474747" w:themeColor="text2" w:themeShade="80"/>
        <w:insideH w:val="single" w:sz="4" w:space="0" w:color="474747" w:themeColor="text2" w:themeShade="80"/>
        <w:insideV w:val="single" w:sz="4" w:space="0" w:color="474747" w:themeColor="text2" w:themeShade="80"/>
      </w:tblBorders>
    </w:tblPr>
    <w:tblStylePr w:type="firstRow">
      <w:pPr>
        <w:wordWrap/>
        <w:spacing w:beforeLines="0" w:afterLines="0"/>
        <w:jc w:val="center"/>
      </w:pPr>
      <w:rPr>
        <w:b/>
        <w:color w:val="FFFFFF" w:themeColor="background1"/>
      </w:rPr>
      <w:tblPr/>
      <w:tcPr>
        <w:shd w:val="clear" w:color="auto" w:fill="1B5294" w:themeFill="accent1"/>
        <w:vAlign w:val="center"/>
      </w:tcPr>
    </w:tblStylePr>
    <w:tblStylePr w:type="firstCol">
      <w:rPr>
        <w:b/>
      </w:rPr>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ESHeading2">
    <w:name w:val="ES Heading 2"/>
    <w:basedOn w:val="ESHeading1"/>
    <w:next w:val="BodyText"/>
    <w:uiPriority w:val="3"/>
    <w:qFormat/>
    <w:rsid w:val="00462B65"/>
    <w:pPr>
      <w:pageBreakBefore w:val="0"/>
      <w:numPr>
        <w:ilvl w:val="1"/>
      </w:numPr>
      <w:outlineLvl w:val="1"/>
    </w:pPr>
    <w:rPr>
      <w:sz w:val="32"/>
    </w:rPr>
  </w:style>
  <w:style w:type="paragraph" w:customStyle="1" w:styleId="ESHeading3">
    <w:name w:val="ES Heading 3"/>
    <w:basedOn w:val="ESHeading2"/>
    <w:next w:val="BodyText"/>
    <w:uiPriority w:val="3"/>
    <w:qFormat/>
    <w:rsid w:val="00462B65"/>
    <w:pPr>
      <w:numPr>
        <w:ilvl w:val="2"/>
      </w:numPr>
      <w:outlineLvl w:val="2"/>
    </w:pPr>
    <w:rPr>
      <w:sz w:val="28"/>
    </w:rPr>
  </w:style>
  <w:style w:type="paragraph" w:customStyle="1" w:styleId="ESNumbering">
    <w:name w:val="ES Numbering"/>
    <w:basedOn w:val="BodyText"/>
    <w:uiPriority w:val="3"/>
    <w:qFormat/>
    <w:rsid w:val="008F6157"/>
    <w:pPr>
      <w:numPr>
        <w:ilvl w:val="3"/>
        <w:numId w:val="7"/>
      </w:numPr>
      <w:contextualSpacing/>
    </w:pPr>
  </w:style>
  <w:style w:type="numbering" w:customStyle="1" w:styleId="ESHeadings">
    <w:name w:val="ES Headings"/>
    <w:uiPriority w:val="99"/>
    <w:rsid w:val="007A637B"/>
    <w:pPr>
      <w:numPr>
        <w:numId w:val="6"/>
      </w:numPr>
    </w:pPr>
  </w:style>
  <w:style w:type="paragraph" w:customStyle="1" w:styleId="FactBoxBullet">
    <w:name w:val="Fact Box Bullet"/>
    <w:basedOn w:val="FactBoxText"/>
    <w:uiPriority w:val="9"/>
    <w:qFormat/>
    <w:rsid w:val="007E2687"/>
    <w:pPr>
      <w:numPr>
        <w:numId w:val="8"/>
      </w:numPr>
      <w:ind w:left="1531" w:hanging="567"/>
    </w:pPr>
  </w:style>
  <w:style w:type="paragraph" w:customStyle="1" w:styleId="AppendixHeading1">
    <w:name w:val="Appendix Heading 1"/>
    <w:basedOn w:val="BodyText"/>
    <w:next w:val="BodyText"/>
    <w:uiPriority w:val="7"/>
    <w:qFormat/>
    <w:rsid w:val="00A84F0D"/>
    <w:pPr>
      <w:numPr>
        <w:ilvl w:val="1"/>
        <w:numId w:val="12"/>
      </w:numPr>
    </w:pPr>
    <w:rPr>
      <w:rFonts w:asciiTheme="majorHAnsi" w:hAnsiTheme="majorHAnsi"/>
      <w:b/>
      <w:color w:val="1B5294" w:themeColor="accent1"/>
      <w:sz w:val="36"/>
    </w:rPr>
  </w:style>
  <w:style w:type="paragraph" w:customStyle="1" w:styleId="AppendixHeading2">
    <w:name w:val="Appendix Heading 2"/>
    <w:basedOn w:val="AppendixHeading1"/>
    <w:next w:val="BodyText"/>
    <w:uiPriority w:val="7"/>
    <w:qFormat/>
    <w:rsid w:val="005F0421"/>
    <w:pPr>
      <w:numPr>
        <w:ilvl w:val="2"/>
      </w:numPr>
    </w:pPr>
    <w:rPr>
      <w:sz w:val="32"/>
    </w:rPr>
  </w:style>
  <w:style w:type="paragraph" w:customStyle="1" w:styleId="InterleafTitle">
    <w:name w:val="Interleaf Title"/>
    <w:basedOn w:val="BodyText"/>
    <w:next w:val="InterleafSubtitle"/>
    <w:uiPriority w:val="19"/>
    <w:qFormat/>
    <w:rsid w:val="004F3F6E"/>
    <w:pPr>
      <w:pageBreakBefore/>
      <w:jc w:val="left"/>
    </w:pPr>
    <w:rPr>
      <w:rFonts w:asciiTheme="majorHAnsi" w:hAnsiTheme="majorHAnsi"/>
      <w:b/>
      <w:caps/>
      <w:color w:val="1B5294" w:themeColor="accent1"/>
      <w:sz w:val="36"/>
    </w:rPr>
  </w:style>
  <w:style w:type="character" w:styleId="Hyperlink">
    <w:name w:val="Hyperlink"/>
    <w:basedOn w:val="DefaultParagraphFont"/>
    <w:uiPriority w:val="99"/>
    <w:unhideWhenUsed/>
    <w:rsid w:val="00B3129D"/>
    <w:rPr>
      <w:color w:val="7030A0" w:themeColor="hyperlink"/>
      <w:u w:val="single"/>
    </w:rPr>
  </w:style>
  <w:style w:type="character" w:customStyle="1" w:styleId="CrossRef">
    <w:name w:val="Cross Ref"/>
    <w:basedOn w:val="DefaultParagraphFont"/>
    <w:uiPriority w:val="29"/>
    <w:qFormat/>
    <w:rsid w:val="00BC4F66"/>
    <w:rPr>
      <w:b/>
      <w:color w:val="000000" w:themeColor="text1"/>
    </w:rPr>
  </w:style>
  <w:style w:type="paragraph" w:customStyle="1" w:styleId="AppendixHeading3">
    <w:name w:val="Appendix Heading 3"/>
    <w:basedOn w:val="AppendixHeading2"/>
    <w:uiPriority w:val="7"/>
    <w:qFormat/>
    <w:rsid w:val="005F0421"/>
    <w:pPr>
      <w:numPr>
        <w:ilvl w:val="3"/>
      </w:numPr>
    </w:pPr>
    <w:rPr>
      <w:sz w:val="28"/>
    </w:rPr>
  </w:style>
  <w:style w:type="paragraph" w:customStyle="1" w:styleId="InterleafSubtitle">
    <w:name w:val="Interleaf Subtitle"/>
    <w:basedOn w:val="InterleafTitle"/>
    <w:uiPriority w:val="20"/>
    <w:qFormat/>
    <w:rsid w:val="00C84732"/>
    <w:pPr>
      <w:pageBreakBefore w:val="0"/>
    </w:pPr>
    <w:rPr>
      <w:caps w:val="0"/>
      <w:sz w:val="32"/>
    </w:rPr>
  </w:style>
  <w:style w:type="table" w:customStyle="1" w:styleId="MarkidesTable">
    <w:name w:val="Markides Table"/>
    <w:basedOn w:val="TableGrid"/>
    <w:uiPriority w:val="99"/>
    <w:rsid w:val="006A5EB9"/>
    <w:pPr>
      <w:spacing w:before="60" w:after="60"/>
    </w:pPr>
    <w:rPr>
      <w:rFonts w:ascii="Calibri" w:hAnsi="Calibri"/>
      <w:sz w:val="20"/>
      <w:szCs w:val="20"/>
    </w:rPr>
    <w:tblPr>
      <w:tblInd w:w="851" w:type="dxa"/>
    </w:tblPr>
    <w:tcPr>
      <w:vAlign w:val="center"/>
    </w:tcPr>
    <w:tblStylePr w:type="firstRow">
      <w:pPr>
        <w:jc w:val="center"/>
      </w:pPr>
      <w:rPr>
        <w:b/>
        <w:bCs/>
        <w:color w:val="8E8E8E" w:themeColor="text2"/>
      </w:rPr>
      <w:tblPr/>
      <w:trPr>
        <w:tblHeader/>
      </w:trPr>
      <w:tcPr>
        <w:vAlign w:val="top"/>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KDocNum">
    <w:name w:val="MK Doc Num"/>
    <w:basedOn w:val="Normal"/>
    <w:uiPriority w:val="29"/>
    <w:qFormat/>
    <w:rsid w:val="00F612BB"/>
  </w:style>
  <w:style w:type="paragraph" w:customStyle="1" w:styleId="MKRevNum">
    <w:name w:val="MK Rev Num"/>
    <w:basedOn w:val="TableText"/>
    <w:uiPriority w:val="29"/>
    <w:qFormat/>
    <w:rsid w:val="004F35E1"/>
    <w:pPr>
      <w:numPr>
        <w:numId w:val="9"/>
      </w:numPr>
      <w:spacing w:before="40" w:after="40" w:line="240" w:lineRule="auto"/>
      <w:jc w:val="center"/>
    </w:pPr>
    <w:rPr>
      <w:b/>
    </w:rPr>
  </w:style>
  <w:style w:type="paragraph" w:customStyle="1" w:styleId="MKProjectNum">
    <w:name w:val="MK Project Num"/>
    <w:basedOn w:val="Normal"/>
    <w:uiPriority w:val="29"/>
    <w:qFormat/>
    <w:rsid w:val="007F56C7"/>
  </w:style>
  <w:style w:type="character" w:customStyle="1" w:styleId="TableTextChar">
    <w:name w:val="Table Text Char"/>
    <w:basedOn w:val="DefaultParagraphFont"/>
    <w:link w:val="TableText"/>
    <w:uiPriority w:val="13"/>
    <w:rsid w:val="005F6CEC"/>
    <w:rPr>
      <w:sz w:val="22"/>
      <w:lang w:val="en-GB"/>
    </w:rPr>
  </w:style>
  <w:style w:type="numbering" w:customStyle="1" w:styleId="Markides2-TierNumbering">
    <w:name w:val="Markides 2-Tier Numbering"/>
    <w:uiPriority w:val="99"/>
    <w:rsid w:val="00EC69B3"/>
    <w:pPr>
      <w:numPr>
        <w:numId w:val="10"/>
      </w:numPr>
    </w:pPr>
  </w:style>
  <w:style w:type="paragraph" w:customStyle="1" w:styleId="CoverTechNoteTitle">
    <w:name w:val="Cover Tech Note Title"/>
    <w:basedOn w:val="CoverReportTitle"/>
    <w:uiPriority w:val="21"/>
    <w:qFormat/>
    <w:rsid w:val="00555BF1"/>
    <w:rPr>
      <w:sz w:val="48"/>
    </w:rPr>
  </w:style>
  <w:style w:type="paragraph" w:customStyle="1" w:styleId="MarkidesLine">
    <w:name w:val="Markides Line"/>
    <w:basedOn w:val="Normal"/>
    <w:uiPriority w:val="29"/>
    <w:qFormat/>
    <w:rsid w:val="00F6184C"/>
    <w:pPr>
      <w:pBdr>
        <w:bottom w:val="single" w:sz="12" w:space="1" w:color="1B5294" w:themeColor="accent1"/>
      </w:pBdr>
      <w:spacing w:before="120" w:after="360"/>
    </w:pPr>
  </w:style>
  <w:style w:type="character" w:styleId="UnresolvedMention">
    <w:name w:val="Unresolved Mention"/>
    <w:basedOn w:val="DefaultParagraphFont"/>
    <w:uiPriority w:val="99"/>
    <w:semiHidden/>
    <w:unhideWhenUsed/>
    <w:rsid w:val="00127E31"/>
    <w:rPr>
      <w:color w:val="605E5C"/>
      <w:shd w:val="clear" w:color="auto" w:fill="E1DFDD"/>
    </w:rPr>
  </w:style>
  <w:style w:type="paragraph" w:styleId="Revision">
    <w:name w:val="Revision"/>
    <w:hidden/>
    <w:uiPriority w:val="99"/>
    <w:semiHidden/>
    <w:rsid w:val="00593C6F"/>
    <w:pPr>
      <w:spacing w:line="240" w:lineRule="auto"/>
    </w:pPr>
    <w:rPr>
      <w:lang w:val="en-GB"/>
    </w:rPr>
  </w:style>
  <w:style w:type="character" w:styleId="CommentReference">
    <w:name w:val="annotation reference"/>
    <w:basedOn w:val="DefaultParagraphFont"/>
    <w:uiPriority w:val="99"/>
    <w:semiHidden/>
    <w:unhideWhenUsed/>
    <w:rsid w:val="000220DC"/>
    <w:rPr>
      <w:sz w:val="16"/>
      <w:szCs w:val="16"/>
    </w:rPr>
  </w:style>
  <w:style w:type="paragraph" w:styleId="CommentText">
    <w:name w:val="annotation text"/>
    <w:basedOn w:val="Normal"/>
    <w:link w:val="CommentTextChar"/>
    <w:uiPriority w:val="99"/>
    <w:unhideWhenUsed/>
    <w:rsid w:val="000220DC"/>
    <w:pPr>
      <w:spacing w:line="240" w:lineRule="auto"/>
    </w:pPr>
    <w:rPr>
      <w:sz w:val="20"/>
      <w:szCs w:val="20"/>
    </w:rPr>
  </w:style>
  <w:style w:type="character" w:customStyle="1" w:styleId="CommentTextChar">
    <w:name w:val="Comment Text Char"/>
    <w:basedOn w:val="DefaultParagraphFont"/>
    <w:link w:val="CommentText"/>
    <w:uiPriority w:val="99"/>
    <w:rsid w:val="000220DC"/>
    <w:rPr>
      <w:sz w:val="20"/>
      <w:szCs w:val="20"/>
      <w:lang w:val="en-GB"/>
    </w:rPr>
  </w:style>
  <w:style w:type="paragraph" w:styleId="CommentSubject">
    <w:name w:val="annotation subject"/>
    <w:basedOn w:val="CommentText"/>
    <w:next w:val="CommentText"/>
    <w:link w:val="CommentSubjectChar"/>
    <w:uiPriority w:val="99"/>
    <w:semiHidden/>
    <w:unhideWhenUsed/>
    <w:rsid w:val="000220DC"/>
    <w:rPr>
      <w:b/>
      <w:bCs/>
    </w:rPr>
  </w:style>
  <w:style w:type="character" w:customStyle="1" w:styleId="CommentSubjectChar">
    <w:name w:val="Comment Subject Char"/>
    <w:basedOn w:val="CommentTextChar"/>
    <w:link w:val="CommentSubject"/>
    <w:uiPriority w:val="99"/>
    <w:semiHidden/>
    <w:rsid w:val="000220DC"/>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2190">
      <w:bodyDiv w:val="1"/>
      <w:marLeft w:val="0"/>
      <w:marRight w:val="0"/>
      <w:marTop w:val="0"/>
      <w:marBottom w:val="0"/>
      <w:divBdr>
        <w:top w:val="none" w:sz="0" w:space="0" w:color="auto"/>
        <w:left w:val="none" w:sz="0" w:space="0" w:color="auto"/>
        <w:bottom w:val="none" w:sz="0" w:space="0" w:color="auto"/>
        <w:right w:val="none" w:sz="0" w:space="0" w:color="auto"/>
      </w:divBdr>
    </w:div>
    <w:div w:id="378868586">
      <w:bodyDiv w:val="1"/>
      <w:marLeft w:val="0"/>
      <w:marRight w:val="0"/>
      <w:marTop w:val="0"/>
      <w:marBottom w:val="0"/>
      <w:divBdr>
        <w:top w:val="none" w:sz="0" w:space="0" w:color="auto"/>
        <w:left w:val="none" w:sz="0" w:space="0" w:color="auto"/>
        <w:bottom w:val="none" w:sz="0" w:space="0" w:color="auto"/>
        <w:right w:val="none" w:sz="0" w:space="0" w:color="auto"/>
      </w:divBdr>
    </w:div>
    <w:div w:id="410351548">
      <w:bodyDiv w:val="1"/>
      <w:marLeft w:val="0"/>
      <w:marRight w:val="0"/>
      <w:marTop w:val="0"/>
      <w:marBottom w:val="0"/>
      <w:divBdr>
        <w:top w:val="none" w:sz="0" w:space="0" w:color="auto"/>
        <w:left w:val="none" w:sz="0" w:space="0" w:color="auto"/>
        <w:bottom w:val="none" w:sz="0" w:space="0" w:color="auto"/>
        <w:right w:val="none" w:sz="0" w:space="0" w:color="auto"/>
      </w:divBdr>
    </w:div>
    <w:div w:id="466749291">
      <w:bodyDiv w:val="1"/>
      <w:marLeft w:val="0"/>
      <w:marRight w:val="0"/>
      <w:marTop w:val="0"/>
      <w:marBottom w:val="0"/>
      <w:divBdr>
        <w:top w:val="none" w:sz="0" w:space="0" w:color="auto"/>
        <w:left w:val="none" w:sz="0" w:space="0" w:color="auto"/>
        <w:bottom w:val="none" w:sz="0" w:space="0" w:color="auto"/>
        <w:right w:val="none" w:sz="0" w:space="0" w:color="auto"/>
      </w:divBdr>
    </w:div>
    <w:div w:id="502548333">
      <w:bodyDiv w:val="1"/>
      <w:marLeft w:val="0"/>
      <w:marRight w:val="0"/>
      <w:marTop w:val="0"/>
      <w:marBottom w:val="0"/>
      <w:divBdr>
        <w:top w:val="none" w:sz="0" w:space="0" w:color="auto"/>
        <w:left w:val="none" w:sz="0" w:space="0" w:color="auto"/>
        <w:bottom w:val="none" w:sz="0" w:space="0" w:color="auto"/>
        <w:right w:val="none" w:sz="0" w:space="0" w:color="auto"/>
      </w:divBdr>
    </w:div>
    <w:div w:id="738015594">
      <w:bodyDiv w:val="1"/>
      <w:marLeft w:val="0"/>
      <w:marRight w:val="0"/>
      <w:marTop w:val="0"/>
      <w:marBottom w:val="0"/>
      <w:divBdr>
        <w:top w:val="none" w:sz="0" w:space="0" w:color="auto"/>
        <w:left w:val="none" w:sz="0" w:space="0" w:color="auto"/>
        <w:bottom w:val="none" w:sz="0" w:space="0" w:color="auto"/>
        <w:right w:val="none" w:sz="0" w:space="0" w:color="auto"/>
      </w:divBdr>
    </w:div>
    <w:div w:id="766191385">
      <w:bodyDiv w:val="1"/>
      <w:marLeft w:val="0"/>
      <w:marRight w:val="0"/>
      <w:marTop w:val="0"/>
      <w:marBottom w:val="0"/>
      <w:divBdr>
        <w:top w:val="none" w:sz="0" w:space="0" w:color="auto"/>
        <w:left w:val="none" w:sz="0" w:space="0" w:color="auto"/>
        <w:bottom w:val="none" w:sz="0" w:space="0" w:color="auto"/>
        <w:right w:val="none" w:sz="0" w:space="0" w:color="auto"/>
      </w:divBdr>
    </w:div>
    <w:div w:id="1140028875">
      <w:bodyDiv w:val="1"/>
      <w:marLeft w:val="0"/>
      <w:marRight w:val="0"/>
      <w:marTop w:val="0"/>
      <w:marBottom w:val="0"/>
      <w:divBdr>
        <w:top w:val="none" w:sz="0" w:space="0" w:color="auto"/>
        <w:left w:val="none" w:sz="0" w:space="0" w:color="auto"/>
        <w:bottom w:val="none" w:sz="0" w:space="0" w:color="auto"/>
        <w:right w:val="none" w:sz="0" w:space="0" w:color="auto"/>
      </w:divBdr>
    </w:div>
    <w:div w:id="1233586922">
      <w:bodyDiv w:val="1"/>
      <w:marLeft w:val="0"/>
      <w:marRight w:val="0"/>
      <w:marTop w:val="0"/>
      <w:marBottom w:val="0"/>
      <w:divBdr>
        <w:top w:val="none" w:sz="0" w:space="0" w:color="auto"/>
        <w:left w:val="none" w:sz="0" w:space="0" w:color="auto"/>
        <w:bottom w:val="none" w:sz="0" w:space="0" w:color="auto"/>
        <w:right w:val="none" w:sz="0" w:space="0" w:color="auto"/>
      </w:divBdr>
    </w:div>
    <w:div w:id="1691640173">
      <w:bodyDiv w:val="1"/>
      <w:marLeft w:val="0"/>
      <w:marRight w:val="0"/>
      <w:marTop w:val="0"/>
      <w:marBottom w:val="0"/>
      <w:divBdr>
        <w:top w:val="none" w:sz="0" w:space="0" w:color="auto"/>
        <w:left w:val="none" w:sz="0" w:space="0" w:color="auto"/>
        <w:bottom w:val="none" w:sz="0" w:space="0" w:color="auto"/>
        <w:right w:val="none" w:sz="0" w:space="0" w:color="auto"/>
      </w:divBdr>
    </w:div>
    <w:div w:id="1960065868">
      <w:bodyDiv w:val="1"/>
      <w:marLeft w:val="0"/>
      <w:marRight w:val="0"/>
      <w:marTop w:val="0"/>
      <w:marBottom w:val="0"/>
      <w:divBdr>
        <w:top w:val="none" w:sz="0" w:space="0" w:color="auto"/>
        <w:left w:val="none" w:sz="0" w:space="0" w:color="auto"/>
        <w:bottom w:val="none" w:sz="0" w:space="0" w:color="auto"/>
        <w:right w:val="none" w:sz="0" w:space="0" w:color="auto"/>
      </w:divBdr>
    </w:div>
    <w:div w:id="1971549392">
      <w:bodyDiv w:val="1"/>
      <w:marLeft w:val="0"/>
      <w:marRight w:val="0"/>
      <w:marTop w:val="0"/>
      <w:marBottom w:val="0"/>
      <w:divBdr>
        <w:top w:val="none" w:sz="0" w:space="0" w:color="auto"/>
        <w:left w:val="none" w:sz="0" w:space="0" w:color="auto"/>
        <w:bottom w:val="none" w:sz="0" w:space="0" w:color="auto"/>
        <w:right w:val="none" w:sz="0" w:space="0" w:color="auto"/>
      </w:divBdr>
    </w:div>
    <w:div w:id="2032610762">
      <w:bodyDiv w:val="1"/>
      <w:marLeft w:val="0"/>
      <w:marRight w:val="0"/>
      <w:marTop w:val="0"/>
      <w:marBottom w:val="0"/>
      <w:divBdr>
        <w:top w:val="none" w:sz="0" w:space="0" w:color="auto"/>
        <w:left w:val="none" w:sz="0" w:space="0" w:color="auto"/>
        <w:bottom w:val="none" w:sz="0" w:space="0" w:color="auto"/>
        <w:right w:val="none" w:sz="0" w:space="0" w:color="auto"/>
      </w:divBdr>
    </w:div>
    <w:div w:id="2035037557">
      <w:bodyDiv w:val="1"/>
      <w:marLeft w:val="0"/>
      <w:marRight w:val="0"/>
      <w:marTop w:val="0"/>
      <w:marBottom w:val="0"/>
      <w:divBdr>
        <w:top w:val="none" w:sz="0" w:space="0" w:color="auto"/>
        <w:left w:val="none" w:sz="0" w:space="0" w:color="auto"/>
        <w:bottom w:val="none" w:sz="0" w:space="0" w:color="auto"/>
        <w:right w:val="none" w:sz="0" w:space="0" w:color="auto"/>
      </w:divBdr>
    </w:div>
    <w:div w:id="2104108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kent.gov.uk/__data/assets/pdf_file/0004/60439/Commissioning-secondary-education-provision-in-Thanet.pdf" TargetMode="External"/><Relationship Id="rId2" Type="http://schemas.openxmlformats.org/officeDocument/2006/relationships/hyperlink" Target="https://democracy.kent.gov.uk/documents/s3003/Appendix%20-%20Guide.pdf" TargetMode="External"/><Relationship Id="rId1" Type="http://schemas.openxmlformats.org/officeDocument/2006/relationships/hyperlink" Target="https://www.ons.gov.uk/employmentandlabourmarket/peopleinwork/employmentandemployeetypes/articles/characteristicsofhomeworkersgreatbritain/september2022tojanuary2023" TargetMode="External"/><Relationship Id="rId5" Type="http://schemas.openxmlformats.org/officeDocument/2006/relationships/hyperlink" Target="https://www.theguardian.com/environment/2023/feb/14/welsh-road-building-projects-stopped-failing-climate-review" TargetMode="External"/><Relationship Id="rId4" Type="http://schemas.openxmlformats.org/officeDocument/2006/relationships/hyperlink" Target="https://www.gov.uk/government/publications/strategic-road-network-and-the-delivery-of-sustainable-development/strategic-road-network-and-the-delivery-of-sustainable-develop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20Atkins\AppData\Roaming\Microsoft\Templates\Markides%20Tech%20No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161604752C4C6ABC39915E9CF3D500"/>
        <w:category>
          <w:name w:val="General"/>
          <w:gallery w:val="placeholder"/>
        </w:category>
        <w:types>
          <w:type w:val="bbPlcHdr"/>
        </w:types>
        <w:behaviors>
          <w:behavior w:val="content"/>
        </w:behaviors>
        <w:guid w:val="{9DDAD24F-6F14-41A4-B441-6B49F8CB3DBC}"/>
      </w:docPartPr>
      <w:docPartBody>
        <w:p w:rsidR="00845AB3" w:rsidRDefault="00845AB3">
          <w:pPr>
            <w:pStyle w:val="FD161604752C4C6ABC39915E9CF3D500"/>
          </w:pPr>
          <w:r w:rsidRPr="00E21D2D">
            <w:rPr>
              <w:rStyle w:val="PlaceholderText"/>
            </w:rPr>
            <w:t>[</w:t>
          </w:r>
          <w:r>
            <w:rPr>
              <w:rStyle w:val="PlaceholderText"/>
            </w:rPr>
            <w:t xml:space="preserve">Report </w:t>
          </w:r>
          <w:r w:rsidRPr="00E21D2D">
            <w:rPr>
              <w:rStyle w:val="PlaceholderText"/>
            </w:rPr>
            <w:t>Title]</w:t>
          </w:r>
        </w:p>
      </w:docPartBody>
    </w:docPart>
    <w:docPart>
      <w:docPartPr>
        <w:name w:val="FC00738C6BCF45D0AA8E34B5B80B16C2"/>
        <w:category>
          <w:name w:val="General"/>
          <w:gallery w:val="placeholder"/>
        </w:category>
        <w:types>
          <w:type w:val="bbPlcHdr"/>
        </w:types>
        <w:behaviors>
          <w:behavior w:val="content"/>
        </w:behaviors>
        <w:guid w:val="{C9F4AD9E-3266-4224-AFA7-392D2C82EB0E}"/>
      </w:docPartPr>
      <w:docPartBody>
        <w:p w:rsidR="00845AB3" w:rsidRDefault="00845AB3">
          <w:pPr>
            <w:pStyle w:val="FC00738C6BCF45D0AA8E34B5B80B16C2"/>
          </w:pPr>
          <w:r w:rsidRPr="006106C7">
            <w:rPr>
              <w:rStyle w:val="PlaceholderText"/>
            </w:rPr>
            <w:t>[Project Title]</w:t>
          </w:r>
        </w:p>
      </w:docPartBody>
    </w:docPart>
    <w:docPart>
      <w:docPartPr>
        <w:name w:val="69005A6B8DDD42CDB946A3F434E38D9D"/>
        <w:category>
          <w:name w:val="General"/>
          <w:gallery w:val="placeholder"/>
        </w:category>
        <w:types>
          <w:type w:val="bbPlcHdr"/>
        </w:types>
        <w:behaviors>
          <w:behavior w:val="content"/>
        </w:behaviors>
        <w:guid w:val="{20ABD841-ABAA-4B12-8947-DD9ABA61C92F}"/>
      </w:docPartPr>
      <w:docPartBody>
        <w:p w:rsidR="00845AB3" w:rsidRDefault="00845AB3">
          <w:pPr>
            <w:pStyle w:val="69005A6B8DDD42CDB946A3F434E38D9D"/>
          </w:pPr>
          <w:r>
            <w:rPr>
              <w:rStyle w:val="PlaceholderText"/>
            </w:rPr>
            <w:t>[Project Number]</w:t>
          </w:r>
        </w:p>
      </w:docPartBody>
    </w:docPart>
    <w:docPart>
      <w:docPartPr>
        <w:name w:val="3FC2075F41DA4BD6B0C450A340B6C5BF"/>
        <w:category>
          <w:name w:val="General"/>
          <w:gallery w:val="placeholder"/>
        </w:category>
        <w:types>
          <w:type w:val="bbPlcHdr"/>
        </w:types>
        <w:behaviors>
          <w:behavior w:val="content"/>
        </w:behaviors>
        <w:guid w:val="{7991BC0F-8865-427C-8D61-93F77B5FC353}"/>
      </w:docPartPr>
      <w:docPartBody>
        <w:p w:rsidR="00845AB3" w:rsidRDefault="00845AB3">
          <w:pPr>
            <w:pStyle w:val="3FC2075F41DA4BD6B0C450A340B6C5BF"/>
          </w:pPr>
          <w:r>
            <w:rPr>
              <w:rStyle w:val="PlaceholderText"/>
            </w:rPr>
            <w:t>[Document Number]</w:t>
          </w:r>
        </w:p>
      </w:docPartBody>
    </w:docPart>
    <w:docPart>
      <w:docPartPr>
        <w:name w:val="2C11EC0719CA41BA9786C7541BD793EC"/>
        <w:category>
          <w:name w:val="General"/>
          <w:gallery w:val="placeholder"/>
        </w:category>
        <w:types>
          <w:type w:val="bbPlcHdr"/>
        </w:types>
        <w:behaviors>
          <w:behavior w:val="content"/>
        </w:behaviors>
        <w:guid w:val="{95C39B0F-FD53-4E9C-B51F-446139476D1B}"/>
      </w:docPartPr>
      <w:docPartBody>
        <w:p w:rsidR="00845AB3" w:rsidRDefault="00845AB3">
          <w:pPr>
            <w:pStyle w:val="2C11EC0719CA41BA9786C7541BD793EC"/>
          </w:pPr>
          <w:r w:rsidRPr="005B4DB0">
            <w:rPr>
              <w:rStyle w:val="PlaceholderText"/>
            </w:rPr>
            <w:t>[</w:t>
          </w:r>
          <w:r>
            <w:rPr>
              <w:rStyle w:val="PlaceholderText"/>
            </w:rPr>
            <w:t>Client Name</w:t>
          </w:r>
          <w:r w:rsidRPr="005B4DB0">
            <w:rPr>
              <w:rStyle w:val="PlaceholderText"/>
            </w:rPr>
            <w:t>]</w:t>
          </w:r>
        </w:p>
      </w:docPartBody>
    </w:docPart>
    <w:docPart>
      <w:docPartPr>
        <w:name w:val="06FE4CF82CEE4D36B1ABBBB7EA15EC25"/>
        <w:category>
          <w:name w:val="General"/>
          <w:gallery w:val="placeholder"/>
        </w:category>
        <w:types>
          <w:type w:val="bbPlcHdr"/>
        </w:types>
        <w:behaviors>
          <w:behavior w:val="content"/>
        </w:behaviors>
        <w:guid w:val="{EC811C3F-0350-409F-9597-3F99B9F047A2}"/>
      </w:docPartPr>
      <w:docPartBody>
        <w:p w:rsidR="00845AB3" w:rsidRDefault="00845AB3">
          <w:pPr>
            <w:pStyle w:val="06FE4CF82CEE4D36B1ABBBB7EA15EC25"/>
          </w:pPr>
          <w:r w:rsidRPr="007E02FB">
            <w:t>[Report Date]</w:t>
          </w:r>
        </w:p>
      </w:docPartBody>
    </w:docPart>
    <w:docPart>
      <w:docPartPr>
        <w:name w:val="94C2972E6A404F91885D65F6A80BB51E"/>
        <w:category>
          <w:name w:val="General"/>
          <w:gallery w:val="placeholder"/>
        </w:category>
        <w:types>
          <w:type w:val="bbPlcHdr"/>
        </w:types>
        <w:behaviors>
          <w:behavior w:val="content"/>
        </w:behaviors>
        <w:guid w:val="{A7A9BCDC-FF89-42D6-8217-059771011E93}"/>
      </w:docPartPr>
      <w:docPartBody>
        <w:p w:rsidR="00845AB3" w:rsidRDefault="00845AB3">
          <w:pPr>
            <w:pStyle w:val="94C2972E6A404F91885D65F6A80BB51E"/>
          </w:pPr>
          <w:r w:rsidRPr="00E21D2D">
            <w:rPr>
              <w:rStyle w:val="PlaceholderText"/>
            </w:rPr>
            <w:t>[</w:t>
          </w:r>
          <w:r>
            <w:rPr>
              <w:rStyle w:val="PlaceholderText"/>
            </w:rPr>
            <w:t xml:space="preserve">Report </w:t>
          </w:r>
          <w:r w:rsidRPr="00E21D2D">
            <w:rPr>
              <w:rStyle w:val="PlaceholderText"/>
            </w:rPr>
            <w:t>Title]</w:t>
          </w:r>
        </w:p>
      </w:docPartBody>
    </w:docPart>
    <w:docPart>
      <w:docPartPr>
        <w:name w:val="A93C3E15294245B8ACE46CD67CAAFC5B"/>
        <w:category>
          <w:name w:val="General"/>
          <w:gallery w:val="placeholder"/>
        </w:category>
        <w:types>
          <w:type w:val="bbPlcHdr"/>
        </w:types>
        <w:behaviors>
          <w:behavior w:val="content"/>
        </w:behaviors>
        <w:guid w:val="{D59672BC-9321-43F5-B33E-78A59F3D5E18}"/>
      </w:docPartPr>
      <w:docPartBody>
        <w:p w:rsidR="00845AB3" w:rsidRDefault="00845AB3">
          <w:pPr>
            <w:pStyle w:val="A93C3E15294245B8ACE46CD67CAAFC5B"/>
          </w:pPr>
          <w:r w:rsidRPr="006106C7">
            <w:rPr>
              <w:rStyle w:val="PlaceholderText"/>
            </w:rPr>
            <w:t>[Project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AB3"/>
    <w:rsid w:val="000C0BB3"/>
    <w:rsid w:val="002949D5"/>
    <w:rsid w:val="0037604D"/>
    <w:rsid w:val="00595D6E"/>
    <w:rsid w:val="005C7047"/>
    <w:rsid w:val="006D3C17"/>
    <w:rsid w:val="0083024D"/>
    <w:rsid w:val="00845AB3"/>
    <w:rsid w:val="008510B3"/>
    <w:rsid w:val="009B6009"/>
    <w:rsid w:val="00E90E07"/>
    <w:rsid w:val="00F903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hidden/>
    <w:uiPriority w:val="99"/>
    <w:semiHidden/>
    <w:rPr>
      <w:color w:val="808080"/>
    </w:rPr>
  </w:style>
  <w:style w:type="paragraph" w:customStyle="1" w:styleId="FD161604752C4C6ABC39915E9CF3D500">
    <w:name w:val="FD161604752C4C6ABC39915E9CF3D500"/>
  </w:style>
  <w:style w:type="paragraph" w:customStyle="1" w:styleId="FC00738C6BCF45D0AA8E34B5B80B16C2">
    <w:name w:val="FC00738C6BCF45D0AA8E34B5B80B16C2"/>
  </w:style>
  <w:style w:type="paragraph" w:customStyle="1" w:styleId="69005A6B8DDD42CDB946A3F434E38D9D">
    <w:name w:val="69005A6B8DDD42CDB946A3F434E38D9D"/>
  </w:style>
  <w:style w:type="paragraph" w:customStyle="1" w:styleId="3FC2075F41DA4BD6B0C450A340B6C5BF">
    <w:name w:val="3FC2075F41DA4BD6B0C450A340B6C5BF"/>
  </w:style>
  <w:style w:type="paragraph" w:customStyle="1" w:styleId="2C11EC0719CA41BA9786C7541BD793EC">
    <w:name w:val="2C11EC0719CA41BA9786C7541BD793EC"/>
  </w:style>
  <w:style w:type="paragraph" w:customStyle="1" w:styleId="06FE4CF82CEE4D36B1ABBBB7EA15EC25">
    <w:name w:val="06FE4CF82CEE4D36B1ABBBB7EA15EC25"/>
  </w:style>
  <w:style w:type="paragraph" w:customStyle="1" w:styleId="94C2972E6A404F91885D65F6A80BB51E">
    <w:name w:val="94C2972E6A404F91885D65F6A80BB51E"/>
  </w:style>
  <w:style w:type="paragraph" w:customStyle="1" w:styleId="A93C3E15294245B8ACE46CD67CAAFC5B">
    <w:name w:val="A93C3E15294245B8ACE46CD67CAAFC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arkides Colours">
      <a:dk1>
        <a:sysClr val="windowText" lastClr="000000"/>
      </a:dk1>
      <a:lt1>
        <a:sysClr val="window" lastClr="FFFFFF"/>
      </a:lt1>
      <a:dk2>
        <a:srgbClr val="8E8E8E"/>
      </a:dk2>
      <a:lt2>
        <a:srgbClr val="DBEFF9"/>
      </a:lt2>
      <a:accent1>
        <a:srgbClr val="1B5294"/>
      </a:accent1>
      <a:accent2>
        <a:srgbClr val="8EAADB"/>
      </a:accent2>
      <a:accent3>
        <a:srgbClr val="F09711"/>
      </a:accent3>
      <a:accent4>
        <a:srgbClr val="0080C4"/>
      </a:accent4>
      <a:accent5>
        <a:srgbClr val="98121E"/>
      </a:accent5>
      <a:accent6>
        <a:srgbClr val="55B948"/>
      </a:accent6>
      <a:hlink>
        <a:srgbClr val="7030A0"/>
      </a:hlink>
      <a:folHlink>
        <a:srgbClr val="002060"/>
      </a:folHlink>
    </a:clrScheme>
    <a:fontScheme name="Markides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2023-04-25T00:00:00</PublishDate>
  <Abstract>The Hadlow Estate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FB8D94-A888-4D94-A8F5-75C683A37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Markides Tech Note</Template>
  <TotalTime>98</TotalTime>
  <Pages>21</Pages>
  <Words>5812</Words>
  <Characters>33129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Response to Inspector’s Initial Findings for the Tunbridge Wells Borough Local Plan</vt:lpstr>
    </vt:vector>
  </TitlesOfParts>
  <Company/>
  <LinksUpToDate>false</LinksUpToDate>
  <CharactersWithSpaces>38864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Inspector’s Initial Findings for the Tunbridge Wells Borough Local Plan</dc:title>
  <dc:subject>Tudeley Garden Village</dc:subject>
  <dc:creator>Hannah Atkins</dc:creator>
  <cp:keywords/>
  <dc:description/>
  <cp:lastModifiedBy>Thomas Ashley</cp:lastModifiedBy>
  <cp:revision>35</cp:revision>
  <cp:lastPrinted>2016-10-05T07:38:00Z</cp:lastPrinted>
  <dcterms:created xsi:type="dcterms:W3CDTF">2023-07-02T16:12:00Z</dcterms:created>
  <dcterms:modified xsi:type="dcterms:W3CDTF">2023-07-05T14:36:00Z</dcterms:modified>
</cp:coreProperties>
</file>